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1E" w:rsidRPr="00BF755C" w:rsidRDefault="00F265E0" w:rsidP="00BF755C">
      <w:pPr>
        <w:pStyle w:val="Title"/>
      </w:pPr>
      <w:r w:rsidRPr="00BF755C">
        <w:t xml:space="preserve">Follow </w:t>
      </w:r>
      <w:r w:rsidR="00AF4516">
        <w:t>t</w:t>
      </w:r>
      <w:r w:rsidRPr="00BF755C">
        <w:t>he Charter Campaign Money</w:t>
      </w:r>
    </w:p>
    <w:p w:rsidR="009A731E" w:rsidRPr="004A67C9" w:rsidRDefault="00F265E0" w:rsidP="00D6352B">
      <w:pPr>
        <w:pStyle w:val="BodyText"/>
        <w:spacing w:before="120"/>
        <w:ind w:left="0"/>
        <w:rPr>
          <w:rFonts w:asciiTheme="minorHAnsi" w:hAnsiTheme="minorHAnsi"/>
          <w:sz w:val="24"/>
          <w:szCs w:val="24"/>
        </w:rPr>
      </w:pPr>
      <w:r w:rsidRPr="004A67C9">
        <w:rPr>
          <w:rFonts w:asciiTheme="minorHAnsi" w:eastAsia="Arial Black" w:hAnsiTheme="minorHAnsi" w:cs="Arial Black"/>
          <w:b/>
          <w:bCs/>
          <w:color w:val="231F20"/>
          <w:sz w:val="24"/>
          <w:szCs w:val="24"/>
        </w:rPr>
        <w:t xml:space="preserve">Kids Not Profits </w:t>
      </w:r>
      <w:r w:rsidRPr="004A67C9">
        <w:rPr>
          <w:rFonts w:asciiTheme="minorHAnsi" w:hAnsiTheme="minorHAnsi"/>
          <w:color w:val="231F20"/>
          <w:sz w:val="24"/>
          <w:szCs w:val="24"/>
        </w:rPr>
        <w:t>is an issue advocacy campaign and growing coalition of education, parent, civil rights and community organizations calling for greater accountability and transparency for California’s charter schools</w:t>
      </w:r>
      <w:r w:rsidR="00AF4516">
        <w:rPr>
          <w:rFonts w:asciiTheme="minorHAnsi" w:hAnsiTheme="minorHAnsi"/>
          <w:color w:val="231F20"/>
          <w:sz w:val="24"/>
          <w:szCs w:val="24"/>
        </w:rPr>
        <w:t>. Charter schools are privately-</w:t>
      </w:r>
      <w:r w:rsidRPr="004A67C9">
        <w:rPr>
          <w:rFonts w:asciiTheme="minorHAnsi" w:hAnsiTheme="minorHAnsi"/>
          <w:color w:val="231F20"/>
          <w:sz w:val="24"/>
          <w:szCs w:val="24"/>
        </w:rPr>
        <w:t xml:space="preserve">managed, taxpayer-funded schools exempted from some rules applicable to traditional public schools. Kids Not Profits is also exposing the agenda of a group of billionaires with no experience in our classrooms, who support these privately-managed </w:t>
      </w:r>
      <w:r w:rsidR="00AF4516">
        <w:rPr>
          <w:rFonts w:asciiTheme="minorHAnsi" w:hAnsiTheme="minorHAnsi"/>
          <w:color w:val="231F20"/>
          <w:sz w:val="24"/>
          <w:szCs w:val="24"/>
        </w:rPr>
        <w:t xml:space="preserve">charter </w:t>
      </w:r>
      <w:r w:rsidRPr="004A67C9">
        <w:rPr>
          <w:rFonts w:asciiTheme="minorHAnsi" w:hAnsiTheme="minorHAnsi"/>
          <w:color w:val="231F20"/>
          <w:sz w:val="24"/>
          <w:szCs w:val="24"/>
        </w:rPr>
        <w:t>schools and who are trying to push their education agenda on the rest of us. Their agenda is simple:</w:t>
      </w:r>
    </w:p>
    <w:p w:rsidR="009A731E" w:rsidRPr="004A67C9" w:rsidRDefault="00F265E0" w:rsidP="00D6352B">
      <w:pPr>
        <w:pStyle w:val="BodyText"/>
        <w:numPr>
          <w:ilvl w:val="0"/>
          <w:numId w:val="1"/>
        </w:numPr>
        <w:tabs>
          <w:tab w:val="left" w:pos="720"/>
        </w:tabs>
        <w:spacing w:before="120"/>
        <w:ind w:left="720" w:hanging="360"/>
        <w:rPr>
          <w:rFonts w:asciiTheme="minorHAnsi" w:hAnsiTheme="minorHAnsi"/>
          <w:sz w:val="24"/>
          <w:szCs w:val="24"/>
        </w:rPr>
      </w:pPr>
      <w:r w:rsidRPr="004A67C9">
        <w:rPr>
          <w:rFonts w:asciiTheme="minorHAnsi" w:hAnsiTheme="minorHAnsi"/>
          <w:color w:val="231F20"/>
          <w:sz w:val="24"/>
          <w:szCs w:val="24"/>
        </w:rPr>
        <w:t>Divert money out of California’s neighborhood public schools to fund</w:t>
      </w:r>
      <w:r w:rsidR="00AF4516">
        <w:rPr>
          <w:rFonts w:asciiTheme="minorHAnsi" w:hAnsiTheme="minorHAnsi"/>
          <w:color w:val="231F20"/>
          <w:sz w:val="24"/>
          <w:szCs w:val="24"/>
        </w:rPr>
        <w:t xml:space="preserve"> privately-</w:t>
      </w:r>
      <w:r w:rsidRPr="004A67C9">
        <w:rPr>
          <w:rFonts w:asciiTheme="minorHAnsi" w:hAnsiTheme="minorHAnsi"/>
          <w:color w:val="231F20"/>
          <w:sz w:val="24"/>
          <w:szCs w:val="24"/>
        </w:rPr>
        <w:t>run charter schools, without accountability or transparency to parents and taxpayers.</w:t>
      </w:r>
    </w:p>
    <w:p w:rsidR="009A731E" w:rsidRPr="004A67C9" w:rsidRDefault="00F265E0" w:rsidP="00D6352B">
      <w:pPr>
        <w:pStyle w:val="BodyText"/>
        <w:numPr>
          <w:ilvl w:val="0"/>
          <w:numId w:val="1"/>
        </w:numPr>
        <w:tabs>
          <w:tab w:val="left" w:pos="720"/>
        </w:tabs>
        <w:spacing w:before="120"/>
        <w:ind w:left="720" w:hanging="360"/>
        <w:rPr>
          <w:rFonts w:asciiTheme="minorHAnsi" w:hAnsiTheme="minorHAnsi"/>
          <w:sz w:val="24"/>
          <w:szCs w:val="24"/>
        </w:rPr>
      </w:pPr>
      <w:r w:rsidRPr="004A67C9">
        <w:rPr>
          <w:rFonts w:asciiTheme="minorHAnsi" w:hAnsiTheme="minorHAnsi"/>
          <w:color w:val="231F20"/>
          <w:sz w:val="24"/>
          <w:szCs w:val="24"/>
        </w:rPr>
        <w:t>Cherry-pick the students who get to attend charter schools – weeding out and turning down students with special needs.</w:t>
      </w:r>
    </w:p>
    <w:p w:rsidR="009A731E" w:rsidRPr="004A67C9" w:rsidRDefault="00F265E0" w:rsidP="00D6352B">
      <w:pPr>
        <w:pStyle w:val="BodyText"/>
        <w:numPr>
          <w:ilvl w:val="0"/>
          <w:numId w:val="1"/>
        </w:numPr>
        <w:tabs>
          <w:tab w:val="left" w:pos="720"/>
        </w:tabs>
        <w:spacing w:before="120"/>
        <w:ind w:left="720" w:hanging="360"/>
        <w:rPr>
          <w:rFonts w:asciiTheme="minorHAnsi" w:hAnsiTheme="minorHAnsi"/>
          <w:sz w:val="24"/>
          <w:szCs w:val="24"/>
        </w:rPr>
      </w:pPr>
      <w:r w:rsidRPr="004A67C9">
        <w:rPr>
          <w:rFonts w:asciiTheme="minorHAnsi" w:hAnsiTheme="minorHAnsi"/>
          <w:color w:val="231F20"/>
          <w:sz w:val="24"/>
          <w:szCs w:val="24"/>
        </w:rPr>
        <w:t>Spend millions trying to influence local legislative and school board elections across California.</w:t>
      </w:r>
    </w:p>
    <w:p w:rsidR="009A731E" w:rsidRPr="004A67C9" w:rsidRDefault="00F265E0" w:rsidP="00D6352B">
      <w:pPr>
        <w:pStyle w:val="BodyText"/>
        <w:spacing w:before="120"/>
        <w:ind w:left="0"/>
        <w:rPr>
          <w:rFonts w:asciiTheme="minorHAnsi" w:hAnsiTheme="minorHAnsi"/>
          <w:sz w:val="24"/>
          <w:szCs w:val="24"/>
        </w:rPr>
      </w:pPr>
      <w:r w:rsidRPr="004A67C9">
        <w:rPr>
          <w:rFonts w:asciiTheme="minorHAnsi" w:hAnsiTheme="minorHAnsi"/>
          <w:color w:val="231F20"/>
          <w:sz w:val="24"/>
          <w:szCs w:val="24"/>
        </w:rPr>
        <w:t xml:space="preserve">In the current 2016 election cycle, this group of billionaires has spent more than $11 million to influence legislative, school board and county </w:t>
      </w:r>
      <w:r w:rsidR="00AF4516">
        <w:rPr>
          <w:rFonts w:asciiTheme="minorHAnsi" w:hAnsiTheme="minorHAnsi"/>
          <w:color w:val="231F20"/>
          <w:sz w:val="24"/>
          <w:szCs w:val="24"/>
        </w:rPr>
        <w:t>office</w:t>
      </w:r>
      <w:r w:rsidRPr="004A67C9">
        <w:rPr>
          <w:rFonts w:asciiTheme="minorHAnsi" w:hAnsiTheme="minorHAnsi"/>
          <w:color w:val="231F20"/>
          <w:sz w:val="24"/>
          <w:szCs w:val="24"/>
        </w:rPr>
        <w:t xml:space="preserve"> of education elections in California. Using a network </w:t>
      </w:r>
      <w:r w:rsidR="00AF4516">
        <w:rPr>
          <w:rFonts w:asciiTheme="minorHAnsi" w:hAnsiTheme="minorHAnsi"/>
          <w:color w:val="231F20"/>
          <w:sz w:val="24"/>
          <w:szCs w:val="24"/>
        </w:rPr>
        <w:t xml:space="preserve">that mirrors the dark </w:t>
      </w:r>
      <w:r w:rsidRPr="004A67C9">
        <w:rPr>
          <w:rFonts w:asciiTheme="minorHAnsi" w:hAnsiTheme="minorHAnsi"/>
          <w:color w:val="231F20"/>
          <w:sz w:val="24"/>
          <w:szCs w:val="24"/>
        </w:rPr>
        <w:t xml:space="preserve">money networks used by the billionaire Koch Brothers, this sophisticated funding network is working to </w:t>
      </w:r>
      <w:r w:rsidR="00D2449F">
        <w:rPr>
          <w:rFonts w:asciiTheme="minorHAnsi" w:hAnsiTheme="minorHAnsi"/>
          <w:color w:val="231F20"/>
          <w:sz w:val="24"/>
          <w:szCs w:val="24"/>
        </w:rPr>
        <w:t xml:space="preserve">influence </w:t>
      </w:r>
      <w:r w:rsidRPr="004A67C9">
        <w:rPr>
          <w:rFonts w:asciiTheme="minorHAnsi" w:hAnsiTheme="minorHAnsi"/>
          <w:color w:val="231F20"/>
          <w:sz w:val="24"/>
          <w:szCs w:val="24"/>
        </w:rPr>
        <w:t>elections across the state. They are focused on legislative elections and local boards of education, where many key decisions about approving charters are made.</w:t>
      </w:r>
    </w:p>
    <w:p w:rsidR="009A731E" w:rsidRPr="00BF755C" w:rsidRDefault="00AF4516" w:rsidP="00BF755C">
      <w:pPr>
        <w:pStyle w:val="Heading1"/>
      </w:pPr>
      <w:r>
        <w:t>Where t</w:t>
      </w:r>
      <w:r w:rsidR="00F265E0" w:rsidRPr="00BF755C">
        <w:t>he Money Has Gone</w:t>
      </w:r>
    </w:p>
    <w:p w:rsidR="009A731E" w:rsidRPr="004A67C9" w:rsidRDefault="00F265E0" w:rsidP="00D6352B">
      <w:pPr>
        <w:pStyle w:val="BodyText"/>
        <w:spacing w:before="120"/>
        <w:ind w:left="0"/>
        <w:rPr>
          <w:rFonts w:asciiTheme="minorHAnsi" w:hAnsiTheme="minorHAnsi"/>
          <w:sz w:val="24"/>
          <w:szCs w:val="24"/>
        </w:rPr>
      </w:pPr>
      <w:r w:rsidRPr="004A67C9">
        <w:rPr>
          <w:rFonts w:asciiTheme="minorHAnsi" w:hAnsiTheme="minorHAnsi"/>
          <w:color w:val="231F20"/>
          <w:sz w:val="24"/>
          <w:szCs w:val="24"/>
        </w:rPr>
        <w:t xml:space="preserve">The money has moved into three political action and independent expenditure committees. In the primary election, the </w:t>
      </w:r>
      <w:hyperlink r:id="rId7" w:history="1">
        <w:proofErr w:type="spellStart"/>
        <w:r w:rsidRPr="004A67C9">
          <w:rPr>
            <w:rStyle w:val="Hyperlink"/>
            <w:rFonts w:asciiTheme="minorHAnsi" w:hAnsiTheme="minorHAnsi"/>
            <w:sz w:val="24"/>
            <w:szCs w:val="24"/>
          </w:rPr>
          <w:t>EdVoice</w:t>
        </w:r>
        <w:proofErr w:type="spellEnd"/>
        <w:r w:rsidRPr="004A67C9">
          <w:rPr>
            <w:rStyle w:val="Hyperlink"/>
            <w:rFonts w:asciiTheme="minorHAnsi" w:hAnsiTheme="minorHAnsi"/>
            <w:sz w:val="24"/>
            <w:szCs w:val="24"/>
          </w:rPr>
          <w:t xml:space="preserve"> Independent Expenditure Committee</w:t>
        </w:r>
      </w:hyperlink>
      <w:r w:rsidRPr="004A67C9">
        <w:rPr>
          <w:rFonts w:asciiTheme="minorHAnsi" w:hAnsiTheme="minorHAnsi"/>
          <w:color w:val="231F20"/>
          <w:sz w:val="24"/>
          <w:szCs w:val="24"/>
        </w:rPr>
        <w:t xml:space="preserve"> received more than $8 million, with the vast majority of funds coming from just 10 wealthy donors.</w:t>
      </w:r>
    </w:p>
    <w:p w:rsidR="009A731E" w:rsidRPr="004A67C9" w:rsidRDefault="00F265E0" w:rsidP="004427D7">
      <w:pPr>
        <w:pStyle w:val="BodyText"/>
        <w:spacing w:before="200"/>
        <w:ind w:left="0"/>
        <w:rPr>
          <w:rFonts w:asciiTheme="minorHAnsi" w:hAnsiTheme="minorHAnsi"/>
          <w:sz w:val="24"/>
          <w:szCs w:val="24"/>
        </w:rPr>
      </w:pPr>
      <w:r w:rsidRPr="004A67C9">
        <w:rPr>
          <w:rFonts w:asciiTheme="minorHAnsi" w:hAnsiTheme="minorHAnsi"/>
          <w:color w:val="231F20"/>
          <w:sz w:val="24"/>
          <w:szCs w:val="24"/>
        </w:rPr>
        <w:t xml:space="preserve">The </w:t>
      </w:r>
      <w:hyperlink r:id="rId8" w:history="1">
        <w:r w:rsidRPr="004A67C9">
          <w:rPr>
            <w:rStyle w:val="Hyperlink"/>
            <w:rFonts w:asciiTheme="minorHAnsi" w:hAnsiTheme="minorHAnsi"/>
            <w:sz w:val="24"/>
            <w:szCs w:val="24"/>
          </w:rPr>
          <w:t xml:space="preserve">California Charter Schools Association </w:t>
        </w:r>
        <w:r w:rsidR="00AF4516">
          <w:rPr>
            <w:rStyle w:val="Hyperlink"/>
            <w:rFonts w:asciiTheme="minorHAnsi" w:hAnsiTheme="minorHAnsi"/>
            <w:sz w:val="24"/>
            <w:szCs w:val="24"/>
          </w:rPr>
          <w:t xml:space="preserve">(CCSA) </w:t>
        </w:r>
        <w:r w:rsidRPr="004A67C9">
          <w:rPr>
            <w:rStyle w:val="Hyperlink"/>
            <w:rFonts w:asciiTheme="minorHAnsi" w:hAnsiTheme="minorHAnsi"/>
            <w:sz w:val="24"/>
            <w:szCs w:val="24"/>
          </w:rPr>
          <w:t>Advocates Independent Expenditure Committee</w:t>
        </w:r>
      </w:hyperlink>
      <w:r w:rsidRPr="004A67C9">
        <w:rPr>
          <w:rFonts w:asciiTheme="minorHAnsi" w:hAnsiTheme="minorHAnsi"/>
          <w:color w:val="3386C7"/>
          <w:sz w:val="24"/>
          <w:szCs w:val="24"/>
        </w:rPr>
        <w:t xml:space="preserve"> </w:t>
      </w:r>
      <w:r w:rsidRPr="004A67C9">
        <w:rPr>
          <w:rFonts w:asciiTheme="minorHAnsi" w:hAnsiTheme="minorHAnsi"/>
          <w:color w:val="231F20"/>
          <w:sz w:val="24"/>
          <w:szCs w:val="24"/>
        </w:rPr>
        <w:t>has received more than $9 million in 2015-2016, again with the majority coming from just 10 wealthy donors.</w:t>
      </w:r>
    </w:p>
    <w:p w:rsidR="009A731E" w:rsidRPr="004A67C9" w:rsidRDefault="00F265E0" w:rsidP="004427D7">
      <w:pPr>
        <w:pStyle w:val="BodyText"/>
        <w:spacing w:before="200"/>
        <w:ind w:left="0"/>
        <w:rPr>
          <w:rFonts w:asciiTheme="minorHAnsi" w:hAnsiTheme="minorHAnsi"/>
          <w:sz w:val="24"/>
          <w:szCs w:val="24"/>
        </w:rPr>
      </w:pPr>
      <w:r w:rsidRPr="004A67C9">
        <w:rPr>
          <w:rFonts w:asciiTheme="minorHAnsi" w:hAnsiTheme="minorHAnsi"/>
          <w:color w:val="231F20"/>
          <w:sz w:val="24"/>
          <w:szCs w:val="24"/>
        </w:rPr>
        <w:t xml:space="preserve">The CCSA PAC also moved more than half of its money into a separate PAC, deceptively called the </w:t>
      </w:r>
      <w:hyperlink r:id="rId9" w:history="1">
        <w:r w:rsidRPr="004A67C9">
          <w:rPr>
            <w:rStyle w:val="Hyperlink"/>
            <w:rFonts w:asciiTheme="minorHAnsi" w:hAnsiTheme="minorHAnsi"/>
            <w:sz w:val="24"/>
            <w:szCs w:val="24"/>
          </w:rPr>
          <w:t>Parent Teacher</w:t>
        </w:r>
        <w:r w:rsidR="00D6352B" w:rsidRPr="004A67C9">
          <w:rPr>
            <w:rStyle w:val="Hyperlink"/>
            <w:rFonts w:asciiTheme="minorHAnsi" w:hAnsiTheme="minorHAnsi"/>
            <w:sz w:val="24"/>
            <w:szCs w:val="24"/>
          </w:rPr>
          <w:t xml:space="preserve"> Alliance</w:t>
        </w:r>
      </w:hyperlink>
      <w:r w:rsidRPr="004A67C9">
        <w:rPr>
          <w:rFonts w:asciiTheme="minorHAnsi" w:hAnsiTheme="minorHAnsi"/>
          <w:color w:val="231F20"/>
          <w:sz w:val="24"/>
          <w:szCs w:val="24"/>
        </w:rPr>
        <w:t xml:space="preserve">. Despite the “PTA” initials, this PAC has nothing to do with the local or </w:t>
      </w:r>
      <w:r w:rsidR="00C14327" w:rsidRPr="004A67C9">
        <w:rPr>
          <w:rFonts w:asciiTheme="minorHAnsi" w:hAnsiTheme="minorHAnsi"/>
          <w:color w:val="231F20"/>
          <w:sz w:val="24"/>
          <w:szCs w:val="24"/>
        </w:rPr>
        <w:t xml:space="preserve">California </w:t>
      </w:r>
      <w:r w:rsidRPr="004A67C9">
        <w:rPr>
          <w:rFonts w:asciiTheme="minorHAnsi" w:hAnsiTheme="minorHAnsi"/>
          <w:color w:val="231F20"/>
          <w:sz w:val="24"/>
          <w:szCs w:val="24"/>
        </w:rPr>
        <w:t>State PTA—the Parent Teachers Association. It’s just another entity controlled by the California Charter Schools Association dedicated to promoting their agenda.</w:t>
      </w:r>
    </w:p>
    <w:p w:rsidR="009A731E" w:rsidRPr="004A67C9" w:rsidRDefault="00F265E0" w:rsidP="004427D7">
      <w:pPr>
        <w:pStyle w:val="BodyText"/>
        <w:spacing w:before="200"/>
        <w:ind w:left="0"/>
        <w:rPr>
          <w:rFonts w:asciiTheme="minorHAnsi" w:hAnsiTheme="minorHAnsi"/>
          <w:sz w:val="24"/>
          <w:szCs w:val="24"/>
        </w:rPr>
      </w:pPr>
      <w:r w:rsidRPr="004A67C9">
        <w:rPr>
          <w:rFonts w:asciiTheme="minorHAnsi" w:hAnsiTheme="minorHAnsi"/>
          <w:color w:val="231F20"/>
          <w:sz w:val="24"/>
          <w:szCs w:val="24"/>
        </w:rPr>
        <w:t>These three committees alone spent more than $11 million on California elections through the June 2016 primary. They have promised to spend even more on races around the state this fall.</w:t>
      </w:r>
    </w:p>
    <w:p w:rsidR="009A731E" w:rsidRPr="004427D7" w:rsidRDefault="00F265E0" w:rsidP="00BF755C">
      <w:pPr>
        <w:pStyle w:val="Heading1"/>
        <w:rPr>
          <w:w w:val="100"/>
        </w:rPr>
      </w:pPr>
      <w:r w:rsidRPr="004427D7">
        <w:rPr>
          <w:w w:val="100"/>
        </w:rPr>
        <w:t>State and Local Campaigns Impacted</w:t>
      </w:r>
    </w:p>
    <w:p w:rsidR="009A731E" w:rsidRPr="004A67C9" w:rsidRDefault="00F265E0" w:rsidP="004427D7">
      <w:pPr>
        <w:pStyle w:val="BodyText"/>
        <w:spacing w:before="120"/>
        <w:ind w:left="0"/>
        <w:rPr>
          <w:rFonts w:asciiTheme="minorHAnsi" w:hAnsiTheme="minorHAnsi"/>
          <w:sz w:val="24"/>
          <w:szCs w:val="24"/>
        </w:rPr>
      </w:pPr>
      <w:r w:rsidRPr="004A67C9">
        <w:rPr>
          <w:rFonts w:asciiTheme="minorHAnsi" w:hAnsiTheme="minorHAnsi"/>
          <w:color w:val="231F20"/>
          <w:sz w:val="24"/>
          <w:szCs w:val="24"/>
        </w:rPr>
        <w:t xml:space="preserve">The following pages show how and where their PACs spent the billionaires’ money in </w:t>
      </w:r>
      <w:r w:rsidR="00AF4516">
        <w:rPr>
          <w:rFonts w:asciiTheme="minorHAnsi" w:hAnsiTheme="minorHAnsi"/>
          <w:color w:val="231F20"/>
          <w:sz w:val="24"/>
          <w:szCs w:val="24"/>
        </w:rPr>
        <w:t xml:space="preserve">the </w:t>
      </w:r>
      <w:r w:rsidRPr="004A67C9">
        <w:rPr>
          <w:rFonts w:asciiTheme="minorHAnsi" w:hAnsiTheme="minorHAnsi"/>
          <w:color w:val="231F20"/>
          <w:sz w:val="24"/>
          <w:szCs w:val="24"/>
        </w:rPr>
        <w:t>2016 June primary election.</w:t>
      </w:r>
    </w:p>
    <w:p w:rsidR="009A731E" w:rsidRPr="004A67C9" w:rsidRDefault="009A731E" w:rsidP="00D6352B">
      <w:pPr>
        <w:spacing w:before="240"/>
        <w:jc w:val="center"/>
        <w:rPr>
          <w:rFonts w:eastAsia="Arial" w:cs="Arial"/>
          <w:sz w:val="24"/>
          <w:szCs w:val="24"/>
        </w:rPr>
        <w:sectPr w:rsidR="009A731E" w:rsidRPr="004A67C9" w:rsidSect="00BE12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08" w:right="1008" w:bottom="1008" w:left="1008" w:header="720" w:footer="720" w:gutter="0"/>
          <w:cols w:space="720"/>
          <w:titlePg/>
          <w:docGrid w:linePitch="299"/>
        </w:sectPr>
      </w:pPr>
    </w:p>
    <w:p w:rsidR="00BE1202" w:rsidRPr="00BF755C" w:rsidRDefault="00BE1202" w:rsidP="00BF755C">
      <w:pPr>
        <w:pStyle w:val="Heading3"/>
      </w:pPr>
      <w:proofErr w:type="spellStart"/>
      <w:r w:rsidRPr="00BF755C">
        <w:lastRenderedPageBreak/>
        <w:t>EdVoice</w:t>
      </w:r>
      <w:proofErr w:type="spellEnd"/>
      <w:r w:rsidRPr="00BF755C">
        <w:t xml:space="preserve"> Independent Expenditure Committee (ID 1261580)</w:t>
      </w:r>
    </w:p>
    <w:p w:rsidR="009A731E" w:rsidRPr="00D6352B" w:rsidRDefault="009A731E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870"/>
        <w:gridCol w:w="570"/>
        <w:gridCol w:w="1620"/>
      </w:tblGrid>
      <w:tr w:rsidR="004A67C9" w:rsidRPr="004A67C9" w:rsidTr="004A67C9">
        <w:trPr>
          <w:trHeight w:hRule="exact" w:val="738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3386C7"/>
              <w:right w:val="nil"/>
            </w:tcBorders>
            <w:vAlign w:val="bottom"/>
          </w:tcPr>
          <w:p w:rsidR="004A67C9" w:rsidRPr="004A67C9" w:rsidRDefault="004A67C9" w:rsidP="00BF755C">
            <w:pPr>
              <w:pStyle w:val="TableParagraph"/>
              <w:spacing w:before="120" w:after="40"/>
              <w:ind w:left="90"/>
              <w:rPr>
                <w:rFonts w:ascii="Futura Std Book" w:eastAsia="Arial" w:hAnsi="Futura Std Book" w:cs="Arial"/>
                <w:szCs w:val="24"/>
              </w:rPr>
            </w:pPr>
            <w:r w:rsidRPr="004A67C9">
              <w:rPr>
                <w:rFonts w:ascii="Futura Std Book" w:hAnsi="Futura Std Book"/>
                <w:b/>
                <w:color w:val="231F20"/>
              </w:rPr>
              <w:t>Race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3386C7"/>
              <w:right w:val="nil"/>
            </w:tcBorders>
            <w:vAlign w:val="bottom"/>
          </w:tcPr>
          <w:p w:rsidR="004A67C9" w:rsidRPr="004A67C9" w:rsidRDefault="004A67C9" w:rsidP="004A67C9">
            <w:pPr>
              <w:pStyle w:val="TableParagraph"/>
              <w:spacing w:before="120" w:after="40"/>
              <w:jc w:val="right"/>
              <w:rPr>
                <w:rFonts w:ascii="Futura Std Book" w:eastAsia="Arial" w:hAnsi="Futura Std Book" w:cs="Arial"/>
                <w:szCs w:val="24"/>
              </w:rPr>
            </w:pPr>
            <w:r w:rsidRPr="004A67C9">
              <w:rPr>
                <w:rFonts w:ascii="Futura Std Book" w:hAnsi="Futura Std Book"/>
                <w:b/>
                <w:color w:val="231F20"/>
              </w:rPr>
              <w:t xml:space="preserve">Independent Expenditures </w:t>
            </w:r>
            <w:r w:rsidRPr="004A67C9">
              <w:rPr>
                <w:rFonts w:ascii="Futura Std Book" w:hAnsi="Futura Std Book"/>
                <w:b/>
                <w:color w:val="231F20"/>
              </w:rPr>
              <w:br/>
              <w:t>&amp; Contributions in Primary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3386C7"/>
              <w:right w:val="nil"/>
            </w:tcBorders>
          </w:tcPr>
          <w:p w:rsidR="004A67C9" w:rsidRPr="004A67C9" w:rsidRDefault="004A67C9" w:rsidP="00BF755C">
            <w:pPr>
              <w:pStyle w:val="TableParagraph"/>
              <w:spacing w:before="120" w:after="40"/>
              <w:ind w:left="1437"/>
              <w:jc w:val="right"/>
              <w:rPr>
                <w:rFonts w:ascii="Futura Std Book" w:hAnsi="Futura Std Book"/>
                <w:b/>
                <w:color w:val="231F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3386C7"/>
              <w:right w:val="nil"/>
            </w:tcBorders>
            <w:vAlign w:val="bottom"/>
          </w:tcPr>
          <w:p w:rsidR="004A67C9" w:rsidRPr="004A67C9" w:rsidRDefault="004A67C9" w:rsidP="004A67C9">
            <w:pPr>
              <w:pStyle w:val="TableParagraph"/>
              <w:spacing w:before="120" w:after="40"/>
              <w:jc w:val="center"/>
              <w:rPr>
                <w:rFonts w:ascii="Futura Std Book" w:eastAsia="Arial" w:hAnsi="Futura Std Book" w:cs="Arial"/>
                <w:szCs w:val="24"/>
              </w:rPr>
            </w:pPr>
            <w:r w:rsidRPr="004A67C9">
              <w:rPr>
                <w:rFonts w:ascii="Futura Std Book" w:hAnsi="Futura Std Book"/>
                <w:b/>
                <w:color w:val="231F20"/>
              </w:rPr>
              <w:t>Totals</w:t>
            </w:r>
          </w:p>
        </w:tc>
      </w:tr>
      <w:tr w:rsidR="004A67C9" w:rsidRPr="00D6352B" w:rsidTr="004A67C9">
        <w:trPr>
          <w:trHeight w:hRule="exact" w:val="650"/>
          <w:jc w:val="center"/>
        </w:trPr>
        <w:tc>
          <w:tcPr>
            <w:tcW w:w="960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4A67C9" w:rsidRPr="004A67C9" w:rsidRDefault="004A67C9">
            <w:pPr>
              <w:pStyle w:val="TableParagraph"/>
              <w:spacing w:before="11"/>
              <w:rPr>
                <w:rFonts w:eastAsia="Times New Roman" w:cs="Times New Roman"/>
                <w:b/>
                <w:sz w:val="24"/>
                <w:szCs w:val="21"/>
              </w:rPr>
            </w:pPr>
          </w:p>
          <w:p w:rsidR="004A67C9" w:rsidRPr="004A67C9" w:rsidRDefault="004A67C9">
            <w:pPr>
              <w:pStyle w:val="TableParagraph"/>
              <w:ind w:left="90"/>
              <w:rPr>
                <w:rFonts w:eastAsia="Arial" w:cs="Arial"/>
                <w:b/>
                <w:sz w:val="24"/>
              </w:rPr>
            </w:pPr>
            <w:r w:rsidRPr="004A67C9">
              <w:rPr>
                <w:b/>
                <w:color w:val="231F20"/>
                <w:sz w:val="24"/>
              </w:rPr>
              <w:t>AD 4:</w:t>
            </w:r>
          </w:p>
        </w:tc>
        <w:tc>
          <w:tcPr>
            <w:tcW w:w="3870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4A67C9" w:rsidRPr="004A67C9" w:rsidRDefault="004A67C9" w:rsidP="004427D7">
            <w:pPr>
              <w:pStyle w:val="TableParagraph"/>
              <w:spacing w:before="11"/>
              <w:jc w:val="right"/>
              <w:rPr>
                <w:rFonts w:eastAsia="Times New Roman" w:cs="Times New Roman"/>
                <w:sz w:val="24"/>
                <w:szCs w:val="21"/>
              </w:rPr>
            </w:pPr>
          </w:p>
          <w:p w:rsidR="004A67C9" w:rsidRPr="004A67C9" w:rsidRDefault="004A67C9" w:rsidP="004427D7">
            <w:pPr>
              <w:pStyle w:val="TableParagraph"/>
              <w:jc w:val="right"/>
              <w:rPr>
                <w:rFonts w:eastAsia="Arial" w:cs="Arial"/>
                <w:sz w:val="24"/>
              </w:rPr>
            </w:pPr>
            <w:r w:rsidRPr="004A67C9">
              <w:rPr>
                <w:color w:val="231F20"/>
                <w:sz w:val="24"/>
              </w:rPr>
              <w:t xml:space="preserve">Supporting Cecilia </w:t>
            </w:r>
            <w:proofErr w:type="spellStart"/>
            <w:r w:rsidRPr="004A67C9">
              <w:rPr>
                <w:color w:val="231F20"/>
                <w:sz w:val="24"/>
              </w:rPr>
              <w:t>Aguiar</w:t>
            </w:r>
            <w:proofErr w:type="spellEnd"/>
            <w:r w:rsidRPr="004A67C9">
              <w:rPr>
                <w:color w:val="231F20"/>
                <w:sz w:val="24"/>
              </w:rPr>
              <w:t>-Curry:</w:t>
            </w:r>
          </w:p>
        </w:tc>
        <w:tc>
          <w:tcPr>
            <w:tcW w:w="570" w:type="dxa"/>
            <w:tcBorders>
              <w:top w:val="single" w:sz="8" w:space="0" w:color="3386C7"/>
              <w:left w:val="nil"/>
              <w:right w:val="nil"/>
            </w:tcBorders>
          </w:tcPr>
          <w:p w:rsidR="004A67C9" w:rsidRPr="004A67C9" w:rsidRDefault="004A67C9">
            <w:pPr>
              <w:pStyle w:val="TableParagraph"/>
              <w:spacing w:before="11"/>
              <w:rPr>
                <w:rFonts w:eastAsia="Times New Roman" w:cs="Times New Roman"/>
                <w:sz w:val="24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3386C7"/>
              <w:left w:val="nil"/>
              <w:right w:val="nil"/>
            </w:tcBorders>
          </w:tcPr>
          <w:p w:rsidR="004A67C9" w:rsidRPr="004A67C9" w:rsidRDefault="004A67C9" w:rsidP="004A67C9">
            <w:pPr>
              <w:pStyle w:val="TableParagraph"/>
              <w:spacing w:before="11"/>
              <w:jc w:val="right"/>
              <w:rPr>
                <w:rFonts w:eastAsia="Times New Roman" w:cs="Times New Roman"/>
                <w:sz w:val="24"/>
                <w:szCs w:val="21"/>
              </w:rPr>
            </w:pPr>
          </w:p>
          <w:p w:rsidR="004A67C9" w:rsidRPr="004A67C9" w:rsidRDefault="004A67C9" w:rsidP="004A67C9">
            <w:pPr>
              <w:pStyle w:val="TableParagraph"/>
              <w:jc w:val="right"/>
              <w:rPr>
                <w:rFonts w:eastAsia="Arial" w:cs="Arial"/>
                <w:sz w:val="24"/>
              </w:rPr>
            </w:pPr>
            <w:r w:rsidRPr="004A67C9">
              <w:rPr>
                <w:color w:val="231F20"/>
                <w:sz w:val="24"/>
              </w:rPr>
              <w:t>$1,070,801.32</w:t>
            </w:r>
          </w:p>
        </w:tc>
      </w:tr>
      <w:tr w:rsidR="004A67C9" w:rsidRPr="00D6352B" w:rsidTr="004A67C9">
        <w:trPr>
          <w:trHeight w:hRule="exact" w:val="27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>
            <w:pPr>
              <w:rPr>
                <w:b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 w:rsidP="004427D7">
            <w:pPr>
              <w:pStyle w:val="TableParagraph"/>
              <w:spacing w:before="3"/>
              <w:jc w:val="right"/>
              <w:rPr>
                <w:rFonts w:eastAsia="Arial" w:cs="Arial"/>
                <w:sz w:val="24"/>
              </w:rPr>
            </w:pPr>
            <w:r w:rsidRPr="004A67C9">
              <w:rPr>
                <w:color w:val="231F20"/>
                <w:sz w:val="24"/>
              </w:rPr>
              <w:t xml:space="preserve">Opposing Dan </w:t>
            </w:r>
            <w:proofErr w:type="spellStart"/>
            <w:r w:rsidRPr="004A67C9">
              <w:rPr>
                <w:color w:val="231F20"/>
                <w:sz w:val="24"/>
              </w:rPr>
              <w:t>Wolk</w:t>
            </w:r>
            <w:proofErr w:type="spellEnd"/>
            <w:r w:rsidRPr="004A67C9">
              <w:rPr>
                <w:color w:val="231F20"/>
                <w:sz w:val="24"/>
              </w:rPr>
              <w:t>: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4A67C9" w:rsidRPr="004A67C9" w:rsidRDefault="004A67C9">
            <w:pPr>
              <w:pStyle w:val="TableParagraph"/>
              <w:spacing w:before="3"/>
              <w:ind w:left="894"/>
              <w:rPr>
                <w:color w:val="231F2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C9" w:rsidRPr="004A67C9" w:rsidRDefault="004A67C9" w:rsidP="004A67C9">
            <w:pPr>
              <w:pStyle w:val="TableParagraph"/>
              <w:spacing w:before="3"/>
              <w:jc w:val="right"/>
              <w:rPr>
                <w:rFonts w:eastAsia="Arial" w:cs="Arial"/>
                <w:sz w:val="24"/>
              </w:rPr>
            </w:pPr>
            <w:r w:rsidRPr="004A67C9">
              <w:rPr>
                <w:color w:val="231F20"/>
                <w:sz w:val="24"/>
              </w:rPr>
              <w:t>$152,215.69</w:t>
            </w:r>
          </w:p>
        </w:tc>
      </w:tr>
      <w:tr w:rsidR="004A67C9" w:rsidRPr="00D6352B" w:rsidTr="004A67C9">
        <w:trPr>
          <w:trHeight w:hRule="exact" w:val="4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>
            <w:pPr>
              <w:rPr>
                <w:b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 w:rsidP="004427D7">
            <w:pPr>
              <w:jc w:val="right"/>
              <w:rPr>
                <w:sz w:val="24"/>
              </w:rPr>
            </w:pP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4A67C9" w:rsidRPr="004A67C9" w:rsidRDefault="004A67C9">
            <w:pPr>
              <w:pStyle w:val="TableParagraph"/>
              <w:spacing w:line="268" w:lineRule="exact"/>
              <w:ind w:left="582"/>
              <w:rPr>
                <w:b/>
                <w:color w:val="231F2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C9" w:rsidRPr="004A67C9" w:rsidRDefault="004A67C9" w:rsidP="004A67C9">
            <w:pPr>
              <w:pStyle w:val="TableParagraph"/>
              <w:spacing w:line="268" w:lineRule="exact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</w:rPr>
              <w:t>$1,223,017.01</w:t>
            </w:r>
          </w:p>
        </w:tc>
      </w:tr>
      <w:tr w:rsidR="004A67C9" w:rsidRPr="00D6352B" w:rsidTr="004A67C9">
        <w:trPr>
          <w:trHeight w:hRule="exact" w:val="418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>
            <w:pPr>
              <w:pStyle w:val="TableParagraph"/>
              <w:spacing w:before="141"/>
              <w:ind w:left="90"/>
              <w:rPr>
                <w:rFonts w:eastAsia="Arial" w:cs="Arial"/>
                <w:b/>
                <w:sz w:val="24"/>
              </w:rPr>
            </w:pPr>
            <w:r w:rsidRPr="004A67C9">
              <w:rPr>
                <w:b/>
                <w:color w:val="231F20"/>
                <w:sz w:val="24"/>
              </w:rPr>
              <w:t>AD 14: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 w:rsidP="004427D7">
            <w:pPr>
              <w:pStyle w:val="TableParagraph"/>
              <w:spacing w:before="141"/>
              <w:jc w:val="right"/>
              <w:rPr>
                <w:rFonts w:eastAsia="Arial" w:cs="Arial"/>
                <w:sz w:val="24"/>
              </w:rPr>
            </w:pPr>
            <w:r w:rsidRPr="004A67C9">
              <w:rPr>
                <w:color w:val="231F20"/>
                <w:sz w:val="24"/>
              </w:rPr>
              <w:t>Supporting Tim Grayson: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4A67C9" w:rsidRPr="004A67C9" w:rsidRDefault="004A67C9">
            <w:pPr>
              <w:pStyle w:val="TableParagraph"/>
              <w:spacing w:before="141"/>
              <w:ind w:left="710"/>
              <w:rPr>
                <w:color w:val="231F2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4A67C9" w:rsidRPr="004A67C9" w:rsidRDefault="004A67C9" w:rsidP="004A67C9">
            <w:pPr>
              <w:pStyle w:val="TableParagraph"/>
              <w:spacing w:before="141"/>
              <w:jc w:val="right"/>
              <w:rPr>
                <w:rFonts w:eastAsia="Arial" w:cs="Arial"/>
                <w:sz w:val="24"/>
              </w:rPr>
            </w:pPr>
            <w:r w:rsidRPr="004A67C9">
              <w:rPr>
                <w:color w:val="231F20"/>
                <w:sz w:val="24"/>
              </w:rPr>
              <w:t>$1,170,322.96</w:t>
            </w:r>
          </w:p>
        </w:tc>
      </w:tr>
      <w:tr w:rsidR="004A67C9" w:rsidRPr="00D6352B" w:rsidTr="004A67C9">
        <w:trPr>
          <w:trHeight w:hRule="exact" w:val="272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>
            <w:pPr>
              <w:rPr>
                <w:b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 w:rsidP="004427D7">
            <w:pPr>
              <w:pStyle w:val="TableParagraph"/>
              <w:spacing w:before="3"/>
              <w:jc w:val="right"/>
              <w:rPr>
                <w:rFonts w:eastAsia="Arial" w:cs="Arial"/>
                <w:sz w:val="24"/>
              </w:rPr>
            </w:pPr>
            <w:r w:rsidRPr="004A67C9">
              <w:rPr>
                <w:color w:val="231F20"/>
                <w:sz w:val="24"/>
              </w:rPr>
              <w:t xml:space="preserve">Opposing Mae </w:t>
            </w:r>
            <w:proofErr w:type="spellStart"/>
            <w:r w:rsidRPr="004A67C9">
              <w:rPr>
                <w:color w:val="231F20"/>
                <w:sz w:val="24"/>
              </w:rPr>
              <w:t>Torlakson</w:t>
            </w:r>
            <w:proofErr w:type="spellEnd"/>
            <w:r w:rsidRPr="004A67C9">
              <w:rPr>
                <w:color w:val="231F20"/>
                <w:sz w:val="24"/>
              </w:rPr>
              <w:t>: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4A67C9" w:rsidRPr="004A67C9" w:rsidRDefault="004A67C9">
            <w:pPr>
              <w:pStyle w:val="TableParagraph"/>
              <w:spacing w:before="3"/>
              <w:ind w:left="833"/>
              <w:rPr>
                <w:color w:val="231F2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7C9" w:rsidRPr="004A67C9" w:rsidRDefault="004A67C9" w:rsidP="004A67C9">
            <w:pPr>
              <w:pStyle w:val="TableParagraph"/>
              <w:spacing w:before="3"/>
              <w:jc w:val="right"/>
              <w:rPr>
                <w:rFonts w:eastAsia="Arial" w:cs="Arial"/>
                <w:sz w:val="24"/>
              </w:rPr>
            </w:pPr>
            <w:r w:rsidRPr="004A67C9">
              <w:rPr>
                <w:color w:val="231F20"/>
                <w:sz w:val="24"/>
              </w:rPr>
              <w:t>$ 315,572.33</w:t>
            </w:r>
          </w:p>
        </w:tc>
      </w:tr>
      <w:tr w:rsidR="004A67C9" w:rsidRPr="00BE1202" w:rsidTr="004A67C9">
        <w:trPr>
          <w:trHeight w:hRule="exact" w:val="563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>
            <w:pPr>
              <w:rPr>
                <w:b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 w:rsidP="004427D7">
            <w:pPr>
              <w:jc w:val="right"/>
              <w:rPr>
                <w:sz w:val="24"/>
              </w:rPr>
            </w:pP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4A67C9" w:rsidRPr="004A67C9" w:rsidRDefault="004A67C9">
            <w:pPr>
              <w:pStyle w:val="TableParagraph"/>
              <w:spacing w:line="268" w:lineRule="exact"/>
              <w:ind w:left="582"/>
              <w:rPr>
                <w:b/>
                <w:color w:val="231F2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7C9" w:rsidRPr="004A67C9" w:rsidRDefault="004A67C9" w:rsidP="004A67C9">
            <w:pPr>
              <w:pStyle w:val="TableParagraph"/>
              <w:spacing w:line="268" w:lineRule="exact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</w:rPr>
              <w:t>$1,485,895.29</w:t>
            </w:r>
          </w:p>
        </w:tc>
      </w:tr>
      <w:tr w:rsidR="004A67C9" w:rsidRPr="00D6352B" w:rsidTr="004A67C9">
        <w:trPr>
          <w:trHeight w:hRule="exact" w:val="8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>
            <w:pPr>
              <w:pStyle w:val="TableParagraph"/>
              <w:spacing w:before="1"/>
              <w:rPr>
                <w:rFonts w:eastAsia="Times New Roman" w:cs="Times New Roman"/>
                <w:b/>
                <w:sz w:val="24"/>
                <w:szCs w:val="25"/>
              </w:rPr>
            </w:pPr>
          </w:p>
          <w:p w:rsidR="004A67C9" w:rsidRPr="004A67C9" w:rsidRDefault="004A67C9">
            <w:pPr>
              <w:pStyle w:val="TableParagraph"/>
              <w:ind w:left="90"/>
              <w:rPr>
                <w:rFonts w:eastAsia="Arial" w:cs="Arial"/>
                <w:b/>
                <w:sz w:val="24"/>
              </w:rPr>
            </w:pPr>
            <w:r w:rsidRPr="004A67C9">
              <w:rPr>
                <w:b/>
                <w:color w:val="231F20"/>
                <w:sz w:val="24"/>
              </w:rPr>
              <w:t>AD 24: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 w:rsidP="004427D7">
            <w:pPr>
              <w:pStyle w:val="TableParagraph"/>
              <w:spacing w:before="1"/>
              <w:jc w:val="right"/>
              <w:rPr>
                <w:rFonts w:eastAsia="Times New Roman" w:cs="Times New Roman"/>
                <w:sz w:val="24"/>
                <w:szCs w:val="25"/>
              </w:rPr>
            </w:pPr>
          </w:p>
          <w:p w:rsidR="004A67C9" w:rsidRPr="004A67C9" w:rsidRDefault="004A67C9" w:rsidP="004427D7">
            <w:pPr>
              <w:pStyle w:val="TableParagraph"/>
              <w:jc w:val="right"/>
              <w:rPr>
                <w:rFonts w:eastAsia="Arial" w:cs="Arial"/>
                <w:sz w:val="24"/>
              </w:rPr>
            </w:pPr>
            <w:r w:rsidRPr="004A67C9">
              <w:rPr>
                <w:color w:val="231F20"/>
                <w:sz w:val="24"/>
              </w:rPr>
              <w:t>Supporting Marc Berman: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>
            <w:pPr>
              <w:pStyle w:val="TableParagraph"/>
              <w:spacing w:before="5"/>
              <w:rPr>
                <w:rFonts w:eastAsia="Times New Roman" w:cs="Times New Roman"/>
                <w:b/>
                <w:sz w:val="24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 w:rsidP="004A67C9">
            <w:pPr>
              <w:pStyle w:val="TableParagraph"/>
              <w:spacing w:before="5"/>
              <w:jc w:val="right"/>
              <w:rPr>
                <w:rFonts w:eastAsia="Times New Roman" w:cs="Times New Roman"/>
                <w:b/>
                <w:sz w:val="24"/>
                <w:szCs w:val="23"/>
              </w:rPr>
            </w:pPr>
          </w:p>
          <w:p w:rsidR="004A67C9" w:rsidRPr="004A67C9" w:rsidRDefault="004A67C9" w:rsidP="004A67C9">
            <w:pPr>
              <w:pStyle w:val="TableParagraph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</w:rPr>
              <w:t>$857,755.95</w:t>
            </w:r>
          </w:p>
        </w:tc>
      </w:tr>
      <w:tr w:rsidR="004A67C9" w:rsidRPr="00D6352B" w:rsidTr="004A67C9">
        <w:trPr>
          <w:trHeight w:hRule="exact" w:val="8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>
            <w:pPr>
              <w:pStyle w:val="TableParagraph"/>
              <w:spacing w:before="1"/>
              <w:rPr>
                <w:rFonts w:eastAsia="Times New Roman" w:cs="Times New Roman"/>
                <w:b/>
                <w:sz w:val="24"/>
                <w:szCs w:val="25"/>
              </w:rPr>
            </w:pPr>
          </w:p>
          <w:p w:rsidR="004A67C9" w:rsidRPr="004A67C9" w:rsidRDefault="004A67C9">
            <w:pPr>
              <w:pStyle w:val="TableParagraph"/>
              <w:ind w:left="90"/>
              <w:rPr>
                <w:rFonts w:eastAsia="Arial" w:cs="Arial"/>
                <w:b/>
                <w:sz w:val="24"/>
              </w:rPr>
            </w:pPr>
            <w:r w:rsidRPr="004A67C9">
              <w:rPr>
                <w:b/>
                <w:color w:val="231F20"/>
                <w:sz w:val="24"/>
              </w:rPr>
              <w:t>AD 38: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 w:rsidP="004427D7">
            <w:pPr>
              <w:pStyle w:val="TableParagraph"/>
              <w:spacing w:before="1"/>
              <w:jc w:val="right"/>
              <w:rPr>
                <w:rFonts w:eastAsia="Times New Roman" w:cs="Times New Roman"/>
                <w:sz w:val="24"/>
                <w:szCs w:val="25"/>
              </w:rPr>
            </w:pPr>
          </w:p>
          <w:p w:rsidR="004A67C9" w:rsidRPr="004A67C9" w:rsidRDefault="004A67C9" w:rsidP="004427D7">
            <w:pPr>
              <w:pStyle w:val="TableParagraph"/>
              <w:jc w:val="right"/>
              <w:rPr>
                <w:rFonts w:eastAsia="Arial" w:cs="Arial"/>
                <w:sz w:val="24"/>
              </w:rPr>
            </w:pPr>
            <w:r w:rsidRPr="004A67C9">
              <w:rPr>
                <w:color w:val="231F20"/>
                <w:sz w:val="24"/>
              </w:rPr>
              <w:t>Supporting Dante Acosta: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>
            <w:pPr>
              <w:pStyle w:val="TableParagraph"/>
              <w:spacing w:before="5"/>
              <w:rPr>
                <w:rFonts w:eastAsia="Times New Roman" w:cs="Times New Roman"/>
                <w:b/>
                <w:sz w:val="24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 w:rsidP="004A67C9">
            <w:pPr>
              <w:pStyle w:val="TableParagraph"/>
              <w:spacing w:before="5"/>
              <w:jc w:val="right"/>
              <w:rPr>
                <w:rFonts w:eastAsia="Times New Roman" w:cs="Times New Roman"/>
                <w:b/>
                <w:sz w:val="24"/>
                <w:szCs w:val="23"/>
              </w:rPr>
            </w:pPr>
          </w:p>
          <w:p w:rsidR="004A67C9" w:rsidRPr="004A67C9" w:rsidRDefault="004A67C9" w:rsidP="004A67C9">
            <w:pPr>
              <w:pStyle w:val="TableParagraph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</w:rPr>
              <w:t>$5,000.00</w:t>
            </w:r>
          </w:p>
        </w:tc>
      </w:tr>
      <w:tr w:rsidR="004A67C9" w:rsidRPr="00D6352B" w:rsidTr="004A67C9">
        <w:trPr>
          <w:trHeight w:hRule="exact" w:val="84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>
            <w:pPr>
              <w:pStyle w:val="TableParagraph"/>
              <w:spacing w:before="1"/>
              <w:rPr>
                <w:rFonts w:eastAsia="Times New Roman" w:cs="Times New Roman"/>
                <w:b/>
                <w:sz w:val="24"/>
                <w:szCs w:val="25"/>
              </w:rPr>
            </w:pPr>
          </w:p>
          <w:p w:rsidR="004A67C9" w:rsidRPr="004A67C9" w:rsidRDefault="004A67C9">
            <w:pPr>
              <w:pStyle w:val="TableParagraph"/>
              <w:ind w:left="90"/>
              <w:rPr>
                <w:rFonts w:eastAsia="Arial" w:cs="Arial"/>
                <w:b/>
                <w:sz w:val="24"/>
              </w:rPr>
            </w:pPr>
            <w:r w:rsidRPr="004A67C9">
              <w:rPr>
                <w:b/>
                <w:color w:val="231F20"/>
                <w:sz w:val="24"/>
              </w:rPr>
              <w:t>SD 3: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 w:rsidP="004427D7">
            <w:pPr>
              <w:pStyle w:val="TableParagraph"/>
              <w:spacing w:before="1"/>
              <w:jc w:val="right"/>
              <w:rPr>
                <w:rFonts w:eastAsia="Times New Roman" w:cs="Times New Roman"/>
                <w:sz w:val="24"/>
                <w:szCs w:val="25"/>
              </w:rPr>
            </w:pPr>
          </w:p>
          <w:p w:rsidR="004A67C9" w:rsidRPr="004A67C9" w:rsidRDefault="004A67C9" w:rsidP="004427D7">
            <w:pPr>
              <w:pStyle w:val="TableParagraph"/>
              <w:jc w:val="right"/>
              <w:rPr>
                <w:rFonts w:eastAsia="Arial" w:cs="Arial"/>
                <w:sz w:val="24"/>
              </w:rPr>
            </w:pPr>
            <w:r w:rsidRPr="004A67C9">
              <w:rPr>
                <w:color w:val="231F20"/>
                <w:sz w:val="24"/>
              </w:rPr>
              <w:t>Supporting Bill Dodd: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>
            <w:pPr>
              <w:pStyle w:val="TableParagraph"/>
              <w:spacing w:before="5"/>
              <w:rPr>
                <w:rFonts w:eastAsia="Times New Roman" w:cs="Times New Roman"/>
                <w:b/>
                <w:sz w:val="24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A67C9" w:rsidRPr="004A67C9" w:rsidRDefault="004A67C9" w:rsidP="004A67C9">
            <w:pPr>
              <w:pStyle w:val="TableParagraph"/>
              <w:spacing w:before="5"/>
              <w:jc w:val="right"/>
              <w:rPr>
                <w:rFonts w:eastAsia="Times New Roman" w:cs="Times New Roman"/>
                <w:b/>
                <w:sz w:val="24"/>
                <w:szCs w:val="23"/>
              </w:rPr>
            </w:pPr>
          </w:p>
          <w:p w:rsidR="004A67C9" w:rsidRPr="004A67C9" w:rsidRDefault="004A67C9" w:rsidP="004A67C9">
            <w:pPr>
              <w:pStyle w:val="TableParagraph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</w:rPr>
              <w:t>$1,664,437.62</w:t>
            </w:r>
          </w:p>
        </w:tc>
      </w:tr>
      <w:tr w:rsidR="004A67C9" w:rsidRPr="00D6352B" w:rsidTr="004A67C9">
        <w:trPr>
          <w:trHeight w:hRule="exact" w:val="851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3386C7"/>
              <w:right w:val="nil"/>
            </w:tcBorders>
          </w:tcPr>
          <w:p w:rsidR="004A67C9" w:rsidRPr="004A67C9" w:rsidRDefault="004A67C9">
            <w:pPr>
              <w:pStyle w:val="TableParagraph"/>
              <w:spacing w:before="1"/>
              <w:rPr>
                <w:rFonts w:eastAsia="Times New Roman" w:cs="Times New Roman"/>
                <w:b/>
                <w:sz w:val="24"/>
                <w:szCs w:val="25"/>
              </w:rPr>
            </w:pPr>
          </w:p>
          <w:p w:rsidR="004A67C9" w:rsidRPr="004A67C9" w:rsidRDefault="004A67C9">
            <w:pPr>
              <w:pStyle w:val="TableParagraph"/>
              <w:ind w:left="90"/>
              <w:rPr>
                <w:rFonts w:eastAsia="Arial" w:cs="Arial"/>
                <w:b/>
                <w:sz w:val="24"/>
              </w:rPr>
            </w:pPr>
            <w:r w:rsidRPr="004A67C9">
              <w:rPr>
                <w:b/>
                <w:color w:val="231F20"/>
                <w:sz w:val="24"/>
              </w:rPr>
              <w:t>SD 7: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3386C7"/>
              <w:right w:val="nil"/>
            </w:tcBorders>
          </w:tcPr>
          <w:p w:rsidR="004A67C9" w:rsidRPr="004A67C9" w:rsidRDefault="004A67C9" w:rsidP="004427D7">
            <w:pPr>
              <w:pStyle w:val="TableParagraph"/>
              <w:spacing w:before="1"/>
              <w:jc w:val="right"/>
              <w:rPr>
                <w:rFonts w:eastAsia="Times New Roman" w:cs="Times New Roman"/>
                <w:sz w:val="24"/>
                <w:szCs w:val="25"/>
              </w:rPr>
            </w:pPr>
          </w:p>
          <w:p w:rsidR="004A67C9" w:rsidRPr="004A67C9" w:rsidRDefault="004A67C9" w:rsidP="004427D7">
            <w:pPr>
              <w:pStyle w:val="TableParagraph"/>
              <w:jc w:val="right"/>
              <w:rPr>
                <w:rFonts w:eastAsia="Arial" w:cs="Arial"/>
                <w:sz w:val="24"/>
              </w:rPr>
            </w:pPr>
            <w:r w:rsidRPr="004A67C9">
              <w:rPr>
                <w:color w:val="231F20"/>
                <w:sz w:val="24"/>
              </w:rPr>
              <w:t>Supporting Steve Glazer: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3386C7"/>
              <w:right w:val="nil"/>
            </w:tcBorders>
          </w:tcPr>
          <w:p w:rsidR="004A67C9" w:rsidRPr="004A67C9" w:rsidRDefault="004A67C9">
            <w:pPr>
              <w:pStyle w:val="TableParagraph"/>
              <w:spacing w:before="5"/>
              <w:rPr>
                <w:rFonts w:eastAsia="Times New Roman" w:cs="Times New Roman"/>
                <w:b/>
                <w:sz w:val="24"/>
                <w:szCs w:val="2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3386C7"/>
              <w:right w:val="nil"/>
            </w:tcBorders>
          </w:tcPr>
          <w:p w:rsidR="004A67C9" w:rsidRPr="004A67C9" w:rsidRDefault="004A67C9" w:rsidP="004A67C9">
            <w:pPr>
              <w:pStyle w:val="TableParagraph"/>
              <w:spacing w:before="5"/>
              <w:jc w:val="right"/>
              <w:rPr>
                <w:rFonts w:eastAsia="Times New Roman" w:cs="Times New Roman"/>
                <w:b/>
                <w:sz w:val="24"/>
                <w:szCs w:val="23"/>
              </w:rPr>
            </w:pPr>
          </w:p>
          <w:p w:rsidR="004A67C9" w:rsidRPr="004A67C9" w:rsidRDefault="004A67C9" w:rsidP="004A67C9">
            <w:pPr>
              <w:pStyle w:val="TableParagraph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</w:rPr>
              <w:t>$298,293.50</w:t>
            </w:r>
          </w:p>
        </w:tc>
      </w:tr>
      <w:tr w:rsidR="004A67C9" w:rsidRPr="00D6352B" w:rsidTr="004A67C9">
        <w:trPr>
          <w:trHeight w:hRule="exact" w:val="627"/>
          <w:jc w:val="center"/>
        </w:trPr>
        <w:tc>
          <w:tcPr>
            <w:tcW w:w="960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4A67C9" w:rsidRPr="004A67C9" w:rsidRDefault="004A67C9">
            <w:pPr>
              <w:rPr>
                <w:sz w:val="24"/>
              </w:rPr>
            </w:pPr>
          </w:p>
        </w:tc>
        <w:tc>
          <w:tcPr>
            <w:tcW w:w="3870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4A67C9" w:rsidRPr="004A67C9" w:rsidRDefault="004A67C9" w:rsidP="004427D7">
            <w:pPr>
              <w:pStyle w:val="TableParagraph"/>
              <w:spacing w:before="5"/>
              <w:jc w:val="right"/>
              <w:rPr>
                <w:rFonts w:eastAsia="Times New Roman" w:cs="Times New Roman"/>
                <w:sz w:val="24"/>
              </w:rPr>
            </w:pPr>
          </w:p>
          <w:p w:rsidR="004A67C9" w:rsidRPr="004A67C9" w:rsidRDefault="004A67C9" w:rsidP="004427D7">
            <w:pPr>
              <w:pStyle w:val="TableParagraph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</w:rPr>
              <w:t>Grand Total to Date:</w:t>
            </w:r>
          </w:p>
        </w:tc>
        <w:tc>
          <w:tcPr>
            <w:tcW w:w="570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4A67C9" w:rsidRPr="004A67C9" w:rsidRDefault="004A67C9">
            <w:pPr>
              <w:pStyle w:val="TableParagraph"/>
              <w:spacing w:before="5"/>
              <w:rPr>
                <w:rFonts w:eastAsia="Times New Roman" w:cs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4A67C9" w:rsidRPr="004A67C9" w:rsidRDefault="004A67C9" w:rsidP="004A67C9">
            <w:pPr>
              <w:pStyle w:val="TableParagraph"/>
              <w:spacing w:before="5"/>
              <w:jc w:val="right"/>
              <w:rPr>
                <w:rFonts w:eastAsia="Times New Roman" w:cs="Times New Roman"/>
                <w:sz w:val="24"/>
              </w:rPr>
            </w:pPr>
          </w:p>
          <w:p w:rsidR="004A67C9" w:rsidRPr="004A67C9" w:rsidRDefault="004A67C9" w:rsidP="004A67C9">
            <w:pPr>
              <w:pStyle w:val="TableParagraph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</w:rPr>
              <w:t>$5,534,399.37</w:t>
            </w:r>
          </w:p>
        </w:tc>
      </w:tr>
    </w:tbl>
    <w:p w:rsidR="009A731E" w:rsidRPr="00D6352B" w:rsidRDefault="009A731E">
      <w:pPr>
        <w:rPr>
          <w:rFonts w:ascii="Arial" w:eastAsia="Arial" w:hAnsi="Arial" w:cs="Arial"/>
          <w:sz w:val="24"/>
          <w:szCs w:val="24"/>
        </w:rPr>
        <w:sectPr w:rsidR="009A731E" w:rsidRPr="00D6352B" w:rsidSect="004427D7">
          <w:headerReference w:type="default" r:id="rId16"/>
          <w:footerReference w:type="default" r:id="rId17"/>
          <w:pgSz w:w="12240" w:h="15840"/>
          <w:pgMar w:top="1440" w:right="1008" w:bottom="1440" w:left="1008" w:header="1440" w:footer="518" w:gutter="0"/>
          <w:cols w:space="720"/>
        </w:sectPr>
      </w:pPr>
    </w:p>
    <w:p w:rsidR="009A731E" w:rsidRPr="00BF755C" w:rsidRDefault="004427D7" w:rsidP="00BF755C">
      <w:pPr>
        <w:pStyle w:val="Heading3"/>
      </w:pPr>
      <w:r w:rsidRPr="00BF755C">
        <w:lastRenderedPageBreak/>
        <w:t xml:space="preserve">California Charter Schools Association Advocates IE Committee </w:t>
      </w:r>
      <w:r w:rsidR="00BF755C">
        <w:br/>
      </w:r>
      <w:r w:rsidR="00AF4516">
        <w:t>(ID 1339522)</w:t>
      </w:r>
    </w:p>
    <w:p w:rsidR="009A731E" w:rsidRPr="00D6352B" w:rsidRDefault="009A731E">
      <w:pPr>
        <w:spacing w:before="9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0" w:type="auto"/>
        <w:tblInd w:w="13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3600"/>
        <w:gridCol w:w="1977"/>
      </w:tblGrid>
      <w:tr w:rsidR="009A731E" w:rsidRPr="004A67C9" w:rsidTr="004427D7">
        <w:trPr>
          <w:trHeight w:hRule="exact" w:val="837"/>
        </w:trPr>
        <w:tc>
          <w:tcPr>
            <w:tcW w:w="2670" w:type="dxa"/>
            <w:tcBorders>
              <w:top w:val="nil"/>
              <w:left w:val="nil"/>
              <w:bottom w:val="single" w:sz="8" w:space="0" w:color="3386C7"/>
              <w:right w:val="nil"/>
            </w:tcBorders>
            <w:vAlign w:val="bottom"/>
          </w:tcPr>
          <w:p w:rsidR="009A731E" w:rsidRPr="004A67C9" w:rsidRDefault="00F265E0" w:rsidP="004427D7">
            <w:pPr>
              <w:pStyle w:val="TableParagraph"/>
              <w:spacing w:before="7"/>
              <w:rPr>
                <w:rFonts w:ascii="Futura Std Book" w:hAnsi="Futura Std Book"/>
                <w:b/>
                <w:color w:val="231F20"/>
              </w:rPr>
            </w:pPr>
            <w:r w:rsidRPr="004A67C9">
              <w:rPr>
                <w:rFonts w:ascii="Futura Std Book" w:hAnsi="Futura Std Book"/>
                <w:b/>
                <w:color w:val="231F20"/>
              </w:rPr>
              <w:t>Race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3386C7"/>
              <w:right w:val="nil"/>
            </w:tcBorders>
            <w:vAlign w:val="bottom"/>
          </w:tcPr>
          <w:p w:rsidR="009A731E" w:rsidRPr="004A67C9" w:rsidRDefault="004427D7" w:rsidP="004A67C9">
            <w:pPr>
              <w:pStyle w:val="TableParagraph"/>
              <w:spacing w:before="7"/>
              <w:jc w:val="right"/>
              <w:rPr>
                <w:rFonts w:ascii="Futura Std Book" w:hAnsi="Futura Std Book"/>
                <w:b/>
                <w:color w:val="231F20"/>
              </w:rPr>
            </w:pPr>
            <w:r w:rsidRPr="004A67C9">
              <w:rPr>
                <w:rFonts w:ascii="Futura Std Book" w:hAnsi="Futura Std Book"/>
                <w:b/>
                <w:color w:val="231F20"/>
              </w:rPr>
              <w:t xml:space="preserve">Independent Expenditures &amp; Contributions </w:t>
            </w:r>
            <w:r w:rsidR="00F265E0" w:rsidRPr="004A67C9">
              <w:rPr>
                <w:rFonts w:ascii="Futura Std Book" w:hAnsi="Futura Std Book"/>
                <w:b/>
                <w:color w:val="231F20"/>
              </w:rPr>
              <w:t>in Primary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3386C7"/>
              <w:right w:val="nil"/>
            </w:tcBorders>
            <w:vAlign w:val="bottom"/>
          </w:tcPr>
          <w:p w:rsidR="009A731E" w:rsidRPr="004A67C9" w:rsidRDefault="004427D7" w:rsidP="004A67C9">
            <w:pPr>
              <w:pStyle w:val="TableParagraph"/>
              <w:spacing w:before="7"/>
              <w:jc w:val="center"/>
              <w:rPr>
                <w:rFonts w:ascii="Futura Std Book" w:hAnsi="Futura Std Book"/>
                <w:b/>
                <w:color w:val="231F20"/>
              </w:rPr>
            </w:pPr>
            <w:r w:rsidRPr="004A67C9">
              <w:rPr>
                <w:rFonts w:ascii="Futura Std Book" w:hAnsi="Futura Std Book"/>
                <w:b/>
                <w:color w:val="231F20"/>
              </w:rPr>
              <w:t>Totals</w:t>
            </w:r>
          </w:p>
        </w:tc>
      </w:tr>
      <w:tr w:rsidR="009A731E" w:rsidRPr="004427D7" w:rsidTr="004427D7">
        <w:trPr>
          <w:trHeight w:hRule="exact" w:val="661"/>
        </w:trPr>
        <w:tc>
          <w:tcPr>
            <w:tcW w:w="2670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9A731E" w:rsidRPr="004A67C9" w:rsidRDefault="009A731E" w:rsidP="004427D7">
            <w:pPr>
              <w:pStyle w:val="TableParagraph"/>
              <w:spacing w:before="1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9A731E" w:rsidRPr="004A67C9" w:rsidRDefault="00F265E0" w:rsidP="004427D7">
            <w:pPr>
              <w:pStyle w:val="TableParagraph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AD 39:</w:t>
            </w:r>
          </w:p>
        </w:tc>
        <w:tc>
          <w:tcPr>
            <w:tcW w:w="3600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9A731E" w:rsidRPr="004A67C9" w:rsidRDefault="009A731E" w:rsidP="004427D7">
            <w:pPr>
              <w:pStyle w:val="TableParagraph"/>
              <w:spacing w:before="1"/>
              <w:jc w:val="right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9A731E" w:rsidRPr="004A67C9" w:rsidRDefault="00F265E0" w:rsidP="004427D7">
            <w:pPr>
              <w:pStyle w:val="TableParagraph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 xml:space="preserve">Supporting Raul </w:t>
            </w:r>
            <w:proofErr w:type="spellStart"/>
            <w:r w:rsidRPr="004A67C9">
              <w:rPr>
                <w:color w:val="231F20"/>
                <w:sz w:val="24"/>
                <w:szCs w:val="24"/>
              </w:rPr>
              <w:t>Bocanegra</w:t>
            </w:r>
            <w:proofErr w:type="spellEnd"/>
            <w:r w:rsidRPr="004A67C9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1977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9A731E" w:rsidRPr="004A67C9" w:rsidRDefault="009A731E">
            <w:pPr>
              <w:pStyle w:val="TableParagraph"/>
              <w:spacing w:before="5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9A731E" w:rsidRPr="004A67C9" w:rsidRDefault="00F265E0">
            <w:pPr>
              <w:pStyle w:val="TableParagraph"/>
              <w:ind w:left="646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$82,832.78</w:t>
            </w:r>
          </w:p>
        </w:tc>
      </w:tr>
      <w:tr w:rsidR="009A731E" w:rsidRPr="00D6352B" w:rsidTr="00BA4373">
        <w:trPr>
          <w:trHeight w:hRule="exact" w:val="418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F265E0" w:rsidP="004427D7">
            <w:pPr>
              <w:pStyle w:val="TableParagraph"/>
              <w:spacing w:before="141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AD 47: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F265E0" w:rsidP="004427D7">
            <w:pPr>
              <w:pStyle w:val="TableParagraph"/>
              <w:spacing w:before="141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Supporting Cheryl Brown:</w:t>
            </w: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</w:tcPr>
          <w:p w:rsidR="009A731E" w:rsidRPr="004A67C9" w:rsidRDefault="00F265E0">
            <w:pPr>
              <w:pStyle w:val="TableParagraph"/>
              <w:spacing w:before="141"/>
              <w:ind w:left="623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$166,812.16</w:t>
            </w:r>
          </w:p>
        </w:tc>
      </w:tr>
      <w:tr w:rsidR="009A731E" w:rsidRPr="00D6352B" w:rsidTr="00BA4373">
        <w:trPr>
          <w:trHeight w:hRule="exact" w:val="27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4427D7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F265E0" w:rsidP="004427D7">
            <w:pPr>
              <w:pStyle w:val="TableParagraph"/>
              <w:spacing w:before="3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Opposing Eloise Gomez Reyes: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31E" w:rsidRPr="004A67C9" w:rsidRDefault="00F265E0">
            <w:pPr>
              <w:pStyle w:val="TableParagraph"/>
              <w:spacing w:before="3"/>
              <w:ind w:left="746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$13,440.55</w:t>
            </w:r>
          </w:p>
        </w:tc>
      </w:tr>
      <w:tr w:rsidR="009A731E" w:rsidRPr="004427D7" w:rsidTr="00BA4373">
        <w:trPr>
          <w:trHeight w:hRule="exact" w:val="431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4427D7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4427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31E" w:rsidRPr="004A67C9" w:rsidRDefault="00F265E0">
            <w:pPr>
              <w:pStyle w:val="TableParagraph"/>
              <w:spacing w:line="268" w:lineRule="exact"/>
              <w:ind w:left="512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$180,252.71</w:t>
            </w:r>
          </w:p>
        </w:tc>
      </w:tr>
      <w:tr w:rsidR="009A731E" w:rsidRPr="00D6352B" w:rsidTr="004A67C9">
        <w:trPr>
          <w:trHeight w:hRule="exact" w:val="84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F265E0" w:rsidP="004A67C9">
            <w:pPr>
              <w:pStyle w:val="TableParagraph"/>
              <w:spacing w:before="140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Orange County BOE Trustee Area 4: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F265E0" w:rsidP="004A67C9">
            <w:pPr>
              <w:pStyle w:val="TableParagraph"/>
              <w:spacing w:before="100" w:beforeAutospacing="1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 xml:space="preserve">Supporting Jack </w:t>
            </w:r>
            <w:proofErr w:type="spellStart"/>
            <w:r w:rsidRPr="004A67C9">
              <w:rPr>
                <w:color w:val="231F20"/>
                <w:sz w:val="24"/>
                <w:szCs w:val="24"/>
              </w:rPr>
              <w:t>Bedell</w:t>
            </w:r>
            <w:proofErr w:type="spellEnd"/>
            <w:r w:rsidRPr="004A67C9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F265E0" w:rsidP="004A67C9">
            <w:pPr>
              <w:pStyle w:val="TableParagraph"/>
              <w:spacing w:before="100" w:beforeAutospacing="1"/>
              <w:ind w:left="646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$18,613.95</w:t>
            </w:r>
          </w:p>
        </w:tc>
      </w:tr>
      <w:tr w:rsidR="009A731E" w:rsidRPr="00D6352B" w:rsidTr="004A67C9">
        <w:trPr>
          <w:trHeight w:hRule="exact" w:val="84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F265E0" w:rsidP="004A67C9">
            <w:pPr>
              <w:pStyle w:val="TableParagraph"/>
              <w:spacing w:before="140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Riverside County BOE Trustee Area 7: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F265E0" w:rsidP="004A67C9">
            <w:pPr>
              <w:pStyle w:val="TableParagraph"/>
              <w:spacing w:before="100" w:beforeAutospacing="1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Supporting Barbara Hale: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F265E0" w:rsidP="004A67C9">
            <w:pPr>
              <w:pStyle w:val="TableParagraph"/>
              <w:spacing w:before="100" w:beforeAutospacing="1"/>
              <w:ind w:left="646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$10,546.51</w:t>
            </w:r>
          </w:p>
        </w:tc>
      </w:tr>
      <w:tr w:rsidR="009A731E" w:rsidRPr="00D6352B" w:rsidTr="004A67C9">
        <w:trPr>
          <w:trHeight w:hRule="exact" w:val="84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F265E0" w:rsidP="004A67C9">
            <w:pPr>
              <w:pStyle w:val="TableParagraph"/>
              <w:spacing w:before="140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San Diego County BOE District 1: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F265E0" w:rsidP="004A67C9">
            <w:pPr>
              <w:pStyle w:val="TableParagraph"/>
              <w:spacing w:before="100" w:beforeAutospacing="1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Supporting Mark Powell: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F265E0" w:rsidP="004A67C9">
            <w:pPr>
              <w:pStyle w:val="TableParagraph"/>
              <w:spacing w:before="100" w:beforeAutospacing="1"/>
              <w:ind w:left="512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$190,364.71</w:t>
            </w:r>
          </w:p>
        </w:tc>
      </w:tr>
      <w:tr w:rsidR="009A731E" w:rsidRPr="00D6352B" w:rsidTr="004A67C9">
        <w:trPr>
          <w:trHeight w:hRule="exact" w:val="84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F265E0" w:rsidP="004A67C9">
            <w:pPr>
              <w:pStyle w:val="TableParagraph"/>
              <w:spacing w:before="140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San Diego County BOE District 2: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F265E0" w:rsidP="004A67C9">
            <w:pPr>
              <w:pStyle w:val="TableParagraph"/>
              <w:spacing w:before="100" w:beforeAutospacing="1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 xml:space="preserve">Supporting Jerry </w:t>
            </w:r>
            <w:proofErr w:type="spellStart"/>
            <w:r w:rsidRPr="004A67C9">
              <w:rPr>
                <w:color w:val="231F20"/>
                <w:sz w:val="24"/>
                <w:szCs w:val="24"/>
              </w:rPr>
              <w:t>Rindone</w:t>
            </w:r>
            <w:proofErr w:type="spellEnd"/>
            <w:r w:rsidRPr="004A67C9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F265E0" w:rsidP="004A67C9">
            <w:pPr>
              <w:pStyle w:val="TableParagraph"/>
              <w:spacing w:before="100" w:beforeAutospacing="1"/>
              <w:ind w:left="512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$117,126.81</w:t>
            </w:r>
          </w:p>
        </w:tc>
      </w:tr>
      <w:tr w:rsidR="009A731E" w:rsidRPr="00D6352B" w:rsidTr="004A67C9">
        <w:trPr>
          <w:trHeight w:hRule="exact" w:val="990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F265E0" w:rsidP="004A67C9">
            <w:pPr>
              <w:pStyle w:val="TableParagraph"/>
              <w:spacing w:before="140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San Diego County BOE District 4: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F265E0" w:rsidP="004A67C9">
            <w:pPr>
              <w:pStyle w:val="TableParagraph"/>
              <w:spacing w:before="100" w:beforeAutospacing="1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 xml:space="preserve">Supporting Paulette </w:t>
            </w:r>
            <w:proofErr w:type="spellStart"/>
            <w:r w:rsidRPr="004A67C9">
              <w:rPr>
                <w:color w:val="231F20"/>
                <w:sz w:val="24"/>
                <w:szCs w:val="24"/>
              </w:rPr>
              <w:t>Donnellon</w:t>
            </w:r>
            <w:proofErr w:type="spellEnd"/>
            <w:r w:rsidRPr="004A67C9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F265E0" w:rsidP="004A67C9">
            <w:pPr>
              <w:pStyle w:val="TableParagraph"/>
              <w:spacing w:before="100" w:beforeAutospacing="1"/>
              <w:ind w:left="512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$197,701.95</w:t>
            </w:r>
          </w:p>
        </w:tc>
      </w:tr>
      <w:tr w:rsidR="004A67C9" w:rsidRPr="00D6352B" w:rsidTr="004A67C9">
        <w:trPr>
          <w:trHeight w:hRule="exact" w:val="280"/>
        </w:trPr>
        <w:tc>
          <w:tcPr>
            <w:tcW w:w="26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A67C9" w:rsidRPr="004A67C9" w:rsidRDefault="004A67C9" w:rsidP="004A67C9">
            <w:pPr>
              <w:pStyle w:val="TableParagraph"/>
              <w:spacing w:before="3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San Diego County BOE</w:t>
            </w:r>
            <w:r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4A67C9">
              <w:rPr>
                <w:b/>
                <w:color w:val="231F20"/>
                <w:sz w:val="24"/>
                <w:szCs w:val="24"/>
              </w:rPr>
              <w:t>District 5: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7C9" w:rsidRPr="004A67C9" w:rsidRDefault="004A67C9" w:rsidP="004A67C9">
            <w:pPr>
              <w:pStyle w:val="TableParagraph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 xml:space="preserve">Supporting Mark </w:t>
            </w:r>
            <w:proofErr w:type="spellStart"/>
            <w:r w:rsidRPr="004A67C9">
              <w:rPr>
                <w:color w:val="231F20"/>
                <w:sz w:val="24"/>
                <w:szCs w:val="24"/>
              </w:rPr>
              <w:t>Wyland</w:t>
            </w:r>
            <w:proofErr w:type="spellEnd"/>
            <w:r w:rsidRPr="004A67C9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vAlign w:val="center"/>
          </w:tcPr>
          <w:p w:rsidR="004A67C9" w:rsidRPr="004A67C9" w:rsidRDefault="004A67C9" w:rsidP="004A67C9">
            <w:pPr>
              <w:pStyle w:val="TableParagraph"/>
              <w:ind w:left="623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$210,183.35</w:t>
            </w:r>
          </w:p>
        </w:tc>
      </w:tr>
      <w:tr w:rsidR="004A67C9" w:rsidRPr="00D6352B" w:rsidTr="004A67C9">
        <w:trPr>
          <w:trHeight w:hRule="exact" w:val="272"/>
        </w:trPr>
        <w:tc>
          <w:tcPr>
            <w:tcW w:w="2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A67C9" w:rsidRPr="004A67C9" w:rsidRDefault="004A67C9" w:rsidP="004A67C9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7C9" w:rsidRPr="004A67C9" w:rsidRDefault="004A67C9" w:rsidP="004A67C9">
            <w:pPr>
              <w:pStyle w:val="TableParagraph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 xml:space="preserve">Opposing Rick </w:t>
            </w:r>
            <w:proofErr w:type="spellStart"/>
            <w:r w:rsidRPr="004A67C9">
              <w:rPr>
                <w:color w:val="231F20"/>
                <w:sz w:val="24"/>
                <w:szCs w:val="24"/>
              </w:rPr>
              <w:t>Shea</w:t>
            </w:r>
            <w:proofErr w:type="spellEnd"/>
            <w:r w:rsidRPr="004A67C9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7C9" w:rsidRPr="004A67C9" w:rsidRDefault="004A67C9" w:rsidP="004A67C9">
            <w:pPr>
              <w:pStyle w:val="TableParagraph"/>
              <w:ind w:left="746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$12,825.17</w:t>
            </w:r>
          </w:p>
        </w:tc>
      </w:tr>
      <w:tr w:rsidR="009A731E" w:rsidRPr="004427D7" w:rsidTr="004A67C9">
        <w:trPr>
          <w:trHeight w:hRule="exact" w:val="431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9A731E" w:rsidP="004A67C9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31E" w:rsidRPr="004A67C9" w:rsidRDefault="009A731E" w:rsidP="004A67C9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731E" w:rsidRPr="004A67C9" w:rsidRDefault="00F265E0" w:rsidP="004A67C9">
            <w:pPr>
              <w:pStyle w:val="TableParagraph"/>
              <w:spacing w:line="268" w:lineRule="exact"/>
              <w:ind w:left="512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$223,008.52</w:t>
            </w:r>
          </w:p>
        </w:tc>
      </w:tr>
      <w:tr w:rsidR="009A731E" w:rsidRPr="00D6352B" w:rsidTr="004427D7">
        <w:trPr>
          <w:trHeight w:hRule="exact" w:val="621"/>
        </w:trPr>
        <w:tc>
          <w:tcPr>
            <w:tcW w:w="2670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9A731E" w:rsidRPr="004A67C9" w:rsidRDefault="009A731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9A731E" w:rsidRPr="004A67C9" w:rsidRDefault="009A731E" w:rsidP="004427D7">
            <w:pPr>
              <w:pStyle w:val="TableParagraph"/>
              <w:jc w:val="right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9A731E" w:rsidRPr="004A67C9" w:rsidRDefault="00F265E0" w:rsidP="004427D7">
            <w:pPr>
              <w:pStyle w:val="TableParagraph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Grand Total to Date:</w:t>
            </w:r>
          </w:p>
        </w:tc>
        <w:tc>
          <w:tcPr>
            <w:tcW w:w="1977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9A731E" w:rsidRPr="004A67C9" w:rsidRDefault="009A731E">
            <w:pPr>
              <w:pStyle w:val="TableParagraph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:rsidR="009A731E" w:rsidRPr="004A67C9" w:rsidRDefault="00F265E0">
            <w:pPr>
              <w:pStyle w:val="TableParagraph"/>
              <w:ind w:left="312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$5,534,399.37</w:t>
            </w:r>
          </w:p>
        </w:tc>
      </w:tr>
    </w:tbl>
    <w:p w:rsidR="009A731E" w:rsidRPr="00D6352B" w:rsidRDefault="009A731E">
      <w:pPr>
        <w:rPr>
          <w:rFonts w:ascii="Arial" w:eastAsia="Arial" w:hAnsi="Arial" w:cs="Arial"/>
          <w:sz w:val="24"/>
          <w:szCs w:val="24"/>
        </w:rPr>
        <w:sectPr w:rsidR="009A731E" w:rsidRPr="00D6352B" w:rsidSect="00BE1202">
          <w:headerReference w:type="default" r:id="rId18"/>
          <w:pgSz w:w="12240" w:h="15840"/>
          <w:pgMar w:top="1008" w:right="1008" w:bottom="1008" w:left="1008" w:header="1440" w:footer="520" w:gutter="0"/>
          <w:cols w:space="720"/>
        </w:sectPr>
      </w:pPr>
    </w:p>
    <w:p w:rsidR="009A731E" w:rsidRPr="00BF755C" w:rsidRDefault="00F265E0" w:rsidP="00BF755C">
      <w:pPr>
        <w:pStyle w:val="Heading3"/>
        <w:rPr>
          <w:rFonts w:cs="Arial Black"/>
          <w:spacing w:val="0"/>
          <w:sz w:val="24"/>
        </w:rPr>
      </w:pPr>
      <w:r w:rsidRPr="00BF755C">
        <w:lastRenderedPageBreak/>
        <w:t>Parent Teacher Alliance</w:t>
      </w:r>
      <w:r w:rsidR="00BA4373" w:rsidRPr="00BF755C">
        <w:br/>
      </w:r>
      <w:r w:rsidRPr="00BF755C">
        <w:rPr>
          <w:sz w:val="24"/>
        </w:rPr>
        <w:t>Sponsored by the CA Charter Schools Assn IE Committee (ID</w:t>
      </w:r>
      <w:r w:rsidRPr="00BF755C">
        <w:rPr>
          <w:spacing w:val="0"/>
          <w:sz w:val="24"/>
        </w:rPr>
        <w:t xml:space="preserve"> 1367043)</w:t>
      </w: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3"/>
        <w:gridCol w:w="3527"/>
        <w:gridCol w:w="1967"/>
      </w:tblGrid>
      <w:tr w:rsidR="009A731E" w:rsidRPr="004A67C9" w:rsidTr="004A67C9">
        <w:trPr>
          <w:trHeight w:hRule="exact" w:val="864"/>
        </w:trPr>
        <w:tc>
          <w:tcPr>
            <w:tcW w:w="2623" w:type="dxa"/>
            <w:tcBorders>
              <w:top w:val="nil"/>
              <w:left w:val="nil"/>
              <w:bottom w:val="single" w:sz="8" w:space="0" w:color="3386C7"/>
              <w:right w:val="nil"/>
            </w:tcBorders>
            <w:vAlign w:val="bottom"/>
          </w:tcPr>
          <w:p w:rsidR="009A731E" w:rsidRPr="004A67C9" w:rsidRDefault="00F265E0" w:rsidP="00BA4373">
            <w:pPr>
              <w:pStyle w:val="TableParagraph"/>
              <w:ind w:left="70"/>
              <w:rPr>
                <w:rFonts w:ascii="Futura Std Book" w:eastAsia="Arial" w:hAnsi="Futura Std Book" w:cs="Arial"/>
                <w:szCs w:val="24"/>
              </w:rPr>
            </w:pPr>
            <w:r w:rsidRPr="004A67C9">
              <w:rPr>
                <w:rFonts w:ascii="Futura Std Book" w:hAnsi="Futura Std Book"/>
                <w:b/>
                <w:color w:val="231F20"/>
              </w:rPr>
              <w:t>Race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3386C7"/>
              <w:right w:val="nil"/>
            </w:tcBorders>
            <w:vAlign w:val="bottom"/>
          </w:tcPr>
          <w:p w:rsidR="009A731E" w:rsidRPr="004A67C9" w:rsidRDefault="00F265E0" w:rsidP="004A67C9">
            <w:pPr>
              <w:pStyle w:val="TableParagraph"/>
              <w:spacing w:before="71"/>
              <w:ind w:left="22"/>
              <w:jc w:val="right"/>
              <w:rPr>
                <w:rFonts w:ascii="Futura Std Book" w:eastAsia="Arial" w:hAnsi="Futura Std Book" w:cs="Arial"/>
                <w:szCs w:val="24"/>
              </w:rPr>
            </w:pPr>
            <w:r w:rsidRPr="004A67C9">
              <w:rPr>
                <w:rFonts w:ascii="Futura Std Book" w:hAnsi="Futura Std Book"/>
                <w:b/>
                <w:color w:val="231F20"/>
              </w:rPr>
              <w:t>Independent Expenditures</w:t>
            </w:r>
          </w:p>
          <w:p w:rsidR="009A731E" w:rsidRPr="004A67C9" w:rsidRDefault="00F265E0" w:rsidP="004A67C9">
            <w:pPr>
              <w:pStyle w:val="TableParagraph"/>
              <w:spacing w:before="4"/>
              <w:ind w:left="9"/>
              <w:jc w:val="right"/>
              <w:rPr>
                <w:rFonts w:ascii="Futura Std Book" w:eastAsia="Arial" w:hAnsi="Futura Std Book" w:cs="Arial"/>
                <w:szCs w:val="24"/>
              </w:rPr>
            </w:pPr>
            <w:r w:rsidRPr="004A67C9">
              <w:rPr>
                <w:rFonts w:ascii="Futura Std Book" w:hAnsi="Futura Std Book"/>
                <w:b/>
                <w:color w:val="231F20"/>
              </w:rPr>
              <w:t>&amp; Contributions in Primary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3386C7"/>
              <w:right w:val="nil"/>
            </w:tcBorders>
            <w:vAlign w:val="bottom"/>
          </w:tcPr>
          <w:p w:rsidR="009A731E" w:rsidRPr="004A67C9" w:rsidRDefault="009A731E" w:rsidP="00BA4373">
            <w:pPr>
              <w:pStyle w:val="TableParagraph"/>
              <w:spacing w:before="13"/>
              <w:jc w:val="right"/>
              <w:rPr>
                <w:rFonts w:ascii="Futura Std Book" w:eastAsia="Arial Black" w:hAnsi="Futura Std Book" w:cs="Arial Black"/>
                <w:b/>
                <w:bCs/>
                <w:szCs w:val="24"/>
              </w:rPr>
            </w:pPr>
          </w:p>
          <w:p w:rsidR="009A731E" w:rsidRPr="004A67C9" w:rsidRDefault="00F265E0" w:rsidP="004A67C9">
            <w:pPr>
              <w:pStyle w:val="TableParagraph"/>
              <w:ind w:left="1157"/>
              <w:jc w:val="center"/>
              <w:rPr>
                <w:rFonts w:ascii="Futura Std Book" w:eastAsia="Arial" w:hAnsi="Futura Std Book" w:cs="Arial"/>
                <w:szCs w:val="24"/>
              </w:rPr>
            </w:pPr>
            <w:r w:rsidRPr="004A67C9">
              <w:rPr>
                <w:rFonts w:ascii="Futura Std Book" w:hAnsi="Futura Std Book"/>
                <w:b/>
                <w:color w:val="231F20"/>
              </w:rPr>
              <w:t>Totals</w:t>
            </w:r>
          </w:p>
        </w:tc>
      </w:tr>
      <w:tr w:rsidR="009A731E" w:rsidRPr="00D6352B" w:rsidTr="004A67C9">
        <w:trPr>
          <w:trHeight w:hRule="exact" w:val="605"/>
        </w:trPr>
        <w:tc>
          <w:tcPr>
            <w:tcW w:w="2623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9A731E" w:rsidRPr="004A67C9" w:rsidRDefault="009A731E" w:rsidP="00BA4373">
            <w:pPr>
              <w:pStyle w:val="TableParagraph"/>
              <w:spacing w:before="12"/>
              <w:ind w:left="26" w:right="71"/>
              <w:rPr>
                <w:rFonts w:eastAsia="Arial Black" w:cs="Arial Black"/>
                <w:b/>
                <w:bCs/>
                <w:sz w:val="24"/>
                <w:szCs w:val="24"/>
              </w:rPr>
            </w:pPr>
          </w:p>
          <w:p w:rsidR="009A731E" w:rsidRPr="004A67C9" w:rsidRDefault="00F265E0" w:rsidP="00BA4373">
            <w:pPr>
              <w:pStyle w:val="TableParagraph"/>
              <w:ind w:left="26" w:right="71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AD 27:</w:t>
            </w:r>
          </w:p>
        </w:tc>
        <w:tc>
          <w:tcPr>
            <w:tcW w:w="3527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9A731E" w:rsidRPr="004A67C9" w:rsidRDefault="009A731E" w:rsidP="00BA4373">
            <w:pPr>
              <w:pStyle w:val="TableParagraph"/>
              <w:spacing w:before="12"/>
              <w:ind w:left="19" w:right="72"/>
              <w:jc w:val="right"/>
              <w:rPr>
                <w:rFonts w:eastAsia="Arial Black" w:cs="Arial Black"/>
                <w:b/>
                <w:bCs/>
                <w:sz w:val="24"/>
                <w:szCs w:val="24"/>
              </w:rPr>
            </w:pPr>
          </w:p>
          <w:p w:rsidR="009A731E" w:rsidRPr="004A67C9" w:rsidRDefault="00F265E0" w:rsidP="00BA4373">
            <w:pPr>
              <w:pStyle w:val="TableParagraph"/>
              <w:ind w:left="19" w:right="72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Supporting Madison Nguyen:</w:t>
            </w:r>
          </w:p>
        </w:tc>
        <w:tc>
          <w:tcPr>
            <w:tcW w:w="1967" w:type="dxa"/>
            <w:tcBorders>
              <w:top w:val="single" w:sz="8" w:space="0" w:color="3386C7"/>
              <w:left w:val="nil"/>
              <w:right w:val="nil"/>
            </w:tcBorders>
          </w:tcPr>
          <w:p w:rsidR="009A731E" w:rsidRPr="004A67C9" w:rsidRDefault="009A731E" w:rsidP="004A67C9">
            <w:pPr>
              <w:pStyle w:val="TableParagraph"/>
              <w:spacing w:before="12"/>
              <w:jc w:val="right"/>
              <w:rPr>
                <w:rFonts w:eastAsia="Arial Black" w:cs="Arial Black"/>
                <w:b/>
                <w:bCs/>
                <w:sz w:val="24"/>
                <w:szCs w:val="24"/>
              </w:rPr>
            </w:pPr>
          </w:p>
          <w:p w:rsidR="009A731E" w:rsidRPr="004A67C9" w:rsidRDefault="00F265E0" w:rsidP="004A67C9">
            <w:pPr>
              <w:pStyle w:val="TableParagraph"/>
              <w:ind w:left="430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$1,519,341.31</w:t>
            </w:r>
          </w:p>
        </w:tc>
      </w:tr>
      <w:tr w:rsidR="009A731E" w:rsidRPr="00D6352B" w:rsidTr="004A67C9">
        <w:trPr>
          <w:trHeight w:hRule="exact" w:val="333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BA4373">
            <w:pPr>
              <w:ind w:left="26" w:right="71"/>
              <w:rPr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F265E0" w:rsidP="00BA4373">
            <w:pPr>
              <w:pStyle w:val="TableParagraph"/>
              <w:spacing w:before="3"/>
              <w:ind w:left="19" w:right="72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 xml:space="preserve">Opposing Ash </w:t>
            </w:r>
            <w:proofErr w:type="spellStart"/>
            <w:r w:rsidRPr="004A67C9">
              <w:rPr>
                <w:color w:val="231F20"/>
                <w:sz w:val="24"/>
                <w:szCs w:val="24"/>
              </w:rPr>
              <w:t>Kalra</w:t>
            </w:r>
            <w:proofErr w:type="spellEnd"/>
            <w:r w:rsidRPr="004A67C9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31E" w:rsidRPr="004A67C9" w:rsidRDefault="00F265E0" w:rsidP="004A67C9">
            <w:pPr>
              <w:pStyle w:val="TableParagraph"/>
              <w:spacing w:before="3"/>
              <w:ind w:left="736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$34,775.31</w:t>
            </w:r>
          </w:p>
        </w:tc>
      </w:tr>
      <w:tr w:rsidR="009A731E" w:rsidRPr="00BA4373" w:rsidTr="004A67C9">
        <w:trPr>
          <w:trHeight w:hRule="exact" w:val="43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BA4373">
            <w:pPr>
              <w:ind w:left="26" w:right="71"/>
              <w:rPr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BA4373">
            <w:pPr>
              <w:ind w:left="19" w:right="72"/>
              <w:jc w:val="right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31E" w:rsidRPr="004A67C9" w:rsidRDefault="00F265E0" w:rsidP="004A67C9">
            <w:pPr>
              <w:pStyle w:val="TableParagraph"/>
              <w:spacing w:line="268" w:lineRule="exact"/>
              <w:ind w:left="302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$1,554,116.62</w:t>
            </w:r>
          </w:p>
        </w:tc>
      </w:tr>
      <w:tr w:rsidR="009A731E" w:rsidRPr="00D6352B" w:rsidTr="004A67C9">
        <w:trPr>
          <w:trHeight w:hRule="exact" w:val="418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F265E0" w:rsidP="00BA4373">
            <w:pPr>
              <w:pStyle w:val="TableParagraph"/>
              <w:spacing w:before="141"/>
              <w:ind w:left="26" w:right="71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AD 30: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F265E0" w:rsidP="00BA4373">
            <w:pPr>
              <w:pStyle w:val="TableParagraph"/>
              <w:spacing w:before="141"/>
              <w:ind w:left="19" w:right="72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Supporting Anna Caballero:</w:t>
            </w: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</w:tcPr>
          <w:p w:rsidR="009A731E" w:rsidRPr="004A67C9" w:rsidRDefault="00F265E0" w:rsidP="004A67C9">
            <w:pPr>
              <w:pStyle w:val="TableParagraph"/>
              <w:spacing w:before="141"/>
              <w:ind w:left="614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$921,749.64</w:t>
            </w:r>
          </w:p>
        </w:tc>
      </w:tr>
      <w:tr w:rsidR="009A731E" w:rsidRPr="00D6352B" w:rsidTr="004A67C9">
        <w:trPr>
          <w:trHeight w:hRule="exact" w:val="272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BA4373">
            <w:pPr>
              <w:ind w:left="26" w:right="71"/>
              <w:rPr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F265E0" w:rsidP="00BA4373">
            <w:pPr>
              <w:pStyle w:val="TableParagraph"/>
              <w:spacing w:before="3"/>
              <w:ind w:left="19" w:right="72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 xml:space="preserve">Opposing Karina </w:t>
            </w:r>
            <w:proofErr w:type="spellStart"/>
            <w:r w:rsidRPr="004A67C9">
              <w:rPr>
                <w:color w:val="231F20"/>
                <w:sz w:val="24"/>
                <w:szCs w:val="24"/>
              </w:rPr>
              <w:t>Alejo</w:t>
            </w:r>
            <w:proofErr w:type="spellEnd"/>
            <w:r w:rsidRPr="004A67C9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31E" w:rsidRPr="004A67C9" w:rsidRDefault="00F265E0" w:rsidP="004A67C9">
            <w:pPr>
              <w:pStyle w:val="TableParagraph"/>
              <w:spacing w:before="3"/>
              <w:ind w:left="736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$19,650.41</w:t>
            </w:r>
          </w:p>
        </w:tc>
      </w:tr>
      <w:tr w:rsidR="009A731E" w:rsidRPr="00BA4373" w:rsidTr="004A67C9">
        <w:trPr>
          <w:trHeight w:hRule="exact" w:val="43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BA4373">
            <w:pPr>
              <w:ind w:left="26" w:right="71"/>
              <w:rPr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BA4373">
            <w:pPr>
              <w:ind w:left="19" w:right="72"/>
              <w:jc w:val="right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31E" w:rsidRPr="004A67C9" w:rsidRDefault="00F265E0" w:rsidP="004A67C9">
            <w:pPr>
              <w:pStyle w:val="TableParagraph"/>
              <w:spacing w:line="268" w:lineRule="exact"/>
              <w:ind w:left="502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$941,400.05</w:t>
            </w:r>
          </w:p>
        </w:tc>
      </w:tr>
      <w:tr w:rsidR="009A731E" w:rsidRPr="004A67C9" w:rsidTr="004A67C9">
        <w:trPr>
          <w:trHeight w:hRule="exact" w:val="418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F265E0" w:rsidP="00BA4373">
            <w:pPr>
              <w:pStyle w:val="TableParagraph"/>
              <w:spacing w:before="141"/>
              <w:ind w:left="26" w:right="71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AD 43: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F265E0" w:rsidP="00BA4373">
            <w:pPr>
              <w:pStyle w:val="TableParagraph"/>
              <w:spacing w:before="141"/>
              <w:ind w:left="19" w:right="72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Supporting Laura Friedman:</w:t>
            </w: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</w:tcPr>
          <w:p w:rsidR="009A731E" w:rsidRPr="004A67C9" w:rsidRDefault="00F265E0" w:rsidP="004A67C9">
            <w:pPr>
              <w:pStyle w:val="TableParagraph"/>
              <w:spacing w:before="141"/>
              <w:ind w:left="430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$1,077,248.57</w:t>
            </w:r>
          </w:p>
        </w:tc>
      </w:tr>
      <w:tr w:rsidR="009A731E" w:rsidRPr="004A67C9" w:rsidTr="004A67C9">
        <w:trPr>
          <w:trHeight w:hRule="exact" w:val="272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BA4373">
            <w:pPr>
              <w:ind w:left="26" w:right="71"/>
              <w:rPr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F265E0" w:rsidP="00BA4373">
            <w:pPr>
              <w:pStyle w:val="TableParagraph"/>
              <w:spacing w:before="3"/>
              <w:ind w:left="19" w:right="72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 xml:space="preserve">Opposing </w:t>
            </w:r>
            <w:proofErr w:type="spellStart"/>
            <w:r w:rsidRPr="004A67C9">
              <w:rPr>
                <w:color w:val="231F20"/>
                <w:sz w:val="24"/>
                <w:szCs w:val="24"/>
              </w:rPr>
              <w:t>Ardy</w:t>
            </w:r>
            <w:proofErr w:type="spellEnd"/>
            <w:r w:rsidRPr="004A67C9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A67C9">
              <w:rPr>
                <w:color w:val="231F20"/>
                <w:sz w:val="24"/>
                <w:szCs w:val="24"/>
              </w:rPr>
              <w:t>Kassakhian</w:t>
            </w:r>
            <w:proofErr w:type="spellEnd"/>
            <w:r w:rsidRPr="004A67C9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31E" w:rsidRPr="004A67C9" w:rsidRDefault="00F265E0" w:rsidP="004A67C9">
            <w:pPr>
              <w:pStyle w:val="TableParagraph"/>
              <w:spacing w:before="3"/>
              <w:ind w:left="614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$355,263.92</w:t>
            </w:r>
          </w:p>
        </w:tc>
      </w:tr>
      <w:tr w:rsidR="009A731E" w:rsidRPr="004A67C9" w:rsidTr="004A67C9">
        <w:trPr>
          <w:trHeight w:hRule="exact" w:val="423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4A67C9">
            <w:pPr>
              <w:ind w:left="29" w:right="72"/>
              <w:rPr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BA4373">
            <w:pPr>
              <w:ind w:left="19" w:right="72"/>
              <w:jc w:val="right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31E" w:rsidRPr="004A67C9" w:rsidRDefault="00F265E0" w:rsidP="004A67C9">
            <w:pPr>
              <w:pStyle w:val="TableParagraph"/>
              <w:spacing w:line="268" w:lineRule="exact"/>
              <w:ind w:left="302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$1,432,512.49</w:t>
            </w:r>
          </w:p>
        </w:tc>
      </w:tr>
      <w:tr w:rsidR="009A731E" w:rsidRPr="004A67C9" w:rsidTr="004A67C9">
        <w:trPr>
          <w:trHeight w:hRule="exact" w:val="568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F265E0" w:rsidP="004A67C9">
            <w:pPr>
              <w:pStyle w:val="TableParagraph"/>
              <w:spacing w:before="148"/>
              <w:ind w:left="29" w:right="72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AD 45: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F265E0" w:rsidP="00BA4373">
            <w:pPr>
              <w:pStyle w:val="TableParagraph"/>
              <w:spacing w:before="148"/>
              <w:ind w:left="19" w:right="72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 xml:space="preserve">Supporting Matt </w:t>
            </w:r>
            <w:proofErr w:type="spellStart"/>
            <w:r w:rsidRPr="004A67C9">
              <w:rPr>
                <w:color w:val="231F20"/>
                <w:sz w:val="24"/>
                <w:szCs w:val="24"/>
              </w:rPr>
              <w:t>Dababneh</w:t>
            </w:r>
            <w:proofErr w:type="spellEnd"/>
            <w:r w:rsidRPr="004A67C9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F265E0" w:rsidP="004A67C9">
            <w:pPr>
              <w:pStyle w:val="TableParagraph"/>
              <w:spacing w:before="129"/>
              <w:ind w:left="502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$108,448.86</w:t>
            </w:r>
          </w:p>
        </w:tc>
      </w:tr>
      <w:tr w:rsidR="009A731E" w:rsidRPr="004A67C9" w:rsidTr="004A67C9">
        <w:trPr>
          <w:trHeight w:hRule="exact" w:val="84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F265E0" w:rsidP="004A67C9">
            <w:pPr>
              <w:pStyle w:val="TableParagraph"/>
              <w:spacing w:before="140"/>
              <w:ind w:left="29" w:right="72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 xml:space="preserve">Alameda County BOE </w:t>
            </w:r>
            <w:proofErr w:type="spellStart"/>
            <w:r w:rsidRPr="004A67C9">
              <w:rPr>
                <w:b/>
                <w:color w:val="231F20"/>
                <w:sz w:val="24"/>
                <w:szCs w:val="24"/>
              </w:rPr>
              <w:t>Distict</w:t>
            </w:r>
            <w:proofErr w:type="spellEnd"/>
            <w:r w:rsidRPr="004A67C9">
              <w:rPr>
                <w:b/>
                <w:color w:val="231F20"/>
                <w:sz w:val="24"/>
                <w:szCs w:val="24"/>
              </w:rPr>
              <w:t xml:space="preserve"> 2: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BA4373">
            <w:pPr>
              <w:pStyle w:val="TableParagraph"/>
              <w:spacing w:before="11"/>
              <w:ind w:left="19" w:right="72"/>
              <w:jc w:val="right"/>
              <w:rPr>
                <w:rFonts w:eastAsia="Arial Black" w:cs="Arial Black"/>
                <w:b/>
                <w:bCs/>
                <w:sz w:val="24"/>
                <w:szCs w:val="24"/>
              </w:rPr>
            </w:pPr>
          </w:p>
          <w:p w:rsidR="009A731E" w:rsidRPr="004A67C9" w:rsidRDefault="00F265E0" w:rsidP="00BA4373">
            <w:pPr>
              <w:pStyle w:val="TableParagraph"/>
              <w:ind w:left="19" w:right="72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Supporting Amber Childress: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4A67C9">
            <w:pPr>
              <w:pStyle w:val="TableParagraph"/>
              <w:spacing w:before="7"/>
              <w:jc w:val="right"/>
              <w:rPr>
                <w:rFonts w:eastAsia="Arial Black" w:cs="Arial Black"/>
                <w:b/>
                <w:bCs/>
                <w:sz w:val="24"/>
                <w:szCs w:val="24"/>
              </w:rPr>
            </w:pPr>
          </w:p>
          <w:p w:rsidR="009A731E" w:rsidRPr="004A67C9" w:rsidRDefault="00F265E0" w:rsidP="004A67C9">
            <w:pPr>
              <w:pStyle w:val="TableParagraph"/>
              <w:ind w:left="636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$25,723.87</w:t>
            </w:r>
          </w:p>
        </w:tc>
      </w:tr>
      <w:tr w:rsidR="009A731E" w:rsidRPr="004A67C9" w:rsidTr="004A67C9">
        <w:trPr>
          <w:trHeight w:hRule="exact" w:val="84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F265E0" w:rsidP="004A67C9">
            <w:pPr>
              <w:pStyle w:val="TableParagraph"/>
              <w:spacing w:before="140"/>
              <w:ind w:left="29" w:right="72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 xml:space="preserve">Alameda County BOE </w:t>
            </w:r>
            <w:proofErr w:type="spellStart"/>
            <w:r w:rsidRPr="004A67C9">
              <w:rPr>
                <w:b/>
                <w:color w:val="231F20"/>
                <w:sz w:val="24"/>
                <w:szCs w:val="24"/>
              </w:rPr>
              <w:t>Distict</w:t>
            </w:r>
            <w:proofErr w:type="spellEnd"/>
            <w:r w:rsidRPr="004A67C9">
              <w:rPr>
                <w:b/>
                <w:color w:val="231F20"/>
                <w:sz w:val="24"/>
                <w:szCs w:val="24"/>
              </w:rPr>
              <w:t xml:space="preserve"> 3: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BA4373">
            <w:pPr>
              <w:pStyle w:val="TableParagraph"/>
              <w:spacing w:before="11"/>
              <w:ind w:left="19" w:right="72"/>
              <w:jc w:val="right"/>
              <w:rPr>
                <w:rFonts w:eastAsia="Arial Black" w:cs="Arial Black"/>
                <w:b/>
                <w:bCs/>
                <w:sz w:val="24"/>
                <w:szCs w:val="24"/>
              </w:rPr>
            </w:pPr>
          </w:p>
          <w:p w:rsidR="009A731E" w:rsidRPr="004A67C9" w:rsidRDefault="00F265E0" w:rsidP="00BA4373">
            <w:pPr>
              <w:pStyle w:val="TableParagraph"/>
              <w:ind w:left="19" w:right="72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 xml:space="preserve">Supporting Ken </w:t>
            </w:r>
            <w:proofErr w:type="spellStart"/>
            <w:r w:rsidRPr="004A67C9">
              <w:rPr>
                <w:color w:val="231F20"/>
                <w:sz w:val="24"/>
                <w:szCs w:val="24"/>
              </w:rPr>
              <w:t>Berrick</w:t>
            </w:r>
            <w:proofErr w:type="spellEnd"/>
            <w:r w:rsidRPr="004A67C9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4A67C9">
            <w:pPr>
              <w:pStyle w:val="TableParagraph"/>
              <w:spacing w:before="7"/>
              <w:jc w:val="right"/>
              <w:rPr>
                <w:rFonts w:eastAsia="Arial Black" w:cs="Arial Black"/>
                <w:b/>
                <w:bCs/>
                <w:sz w:val="24"/>
                <w:szCs w:val="24"/>
              </w:rPr>
            </w:pPr>
          </w:p>
          <w:p w:rsidR="009A731E" w:rsidRPr="004A67C9" w:rsidRDefault="00F265E0" w:rsidP="004A67C9">
            <w:pPr>
              <w:pStyle w:val="TableParagraph"/>
              <w:ind w:left="636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$17,500.00</w:t>
            </w:r>
          </w:p>
        </w:tc>
      </w:tr>
      <w:tr w:rsidR="009A731E" w:rsidRPr="004A67C9" w:rsidTr="004A67C9">
        <w:trPr>
          <w:trHeight w:hRule="exact" w:val="417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4A67C9">
            <w:pPr>
              <w:pStyle w:val="TableParagraph"/>
              <w:spacing w:before="140"/>
              <w:ind w:left="29" w:right="72"/>
              <w:rPr>
                <w:rFonts w:eastAsia="Arial" w:cs="Arial"/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BA4373">
            <w:pPr>
              <w:ind w:left="19" w:right="72"/>
              <w:jc w:val="right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9A731E" w:rsidRPr="004A67C9" w:rsidRDefault="009A731E" w:rsidP="004A67C9">
            <w:pPr>
              <w:jc w:val="right"/>
              <w:rPr>
                <w:sz w:val="24"/>
                <w:szCs w:val="24"/>
              </w:rPr>
            </w:pPr>
          </w:p>
        </w:tc>
      </w:tr>
      <w:tr w:rsidR="00BA4373" w:rsidRPr="004A67C9" w:rsidTr="004A67C9">
        <w:trPr>
          <w:trHeight w:hRule="exact" w:val="280"/>
        </w:trPr>
        <w:tc>
          <w:tcPr>
            <w:tcW w:w="2623" w:type="dxa"/>
            <w:vMerge w:val="restart"/>
            <w:tcBorders>
              <w:top w:val="nil"/>
              <w:left w:val="nil"/>
              <w:right w:val="nil"/>
            </w:tcBorders>
          </w:tcPr>
          <w:p w:rsidR="00BA4373" w:rsidRPr="004A67C9" w:rsidRDefault="00BA4373" w:rsidP="004A67C9">
            <w:pPr>
              <w:pStyle w:val="TableParagraph"/>
              <w:ind w:left="29" w:right="72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 xml:space="preserve">Sacramento County </w:t>
            </w:r>
            <w:r w:rsidR="004A67C9" w:rsidRPr="004A67C9">
              <w:rPr>
                <w:b/>
                <w:color w:val="231F20"/>
                <w:sz w:val="24"/>
                <w:szCs w:val="24"/>
              </w:rPr>
              <w:t xml:space="preserve">BOE </w:t>
            </w:r>
            <w:r w:rsidRPr="004A67C9">
              <w:rPr>
                <w:b/>
                <w:color w:val="231F20"/>
                <w:sz w:val="24"/>
                <w:szCs w:val="24"/>
              </w:rPr>
              <w:t>Trustee Area 4: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BA4373" w:rsidRPr="004A67C9" w:rsidRDefault="00BA4373" w:rsidP="00BA4373">
            <w:pPr>
              <w:pStyle w:val="TableParagraph"/>
              <w:spacing w:before="3"/>
              <w:ind w:left="19" w:right="72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 xml:space="preserve">Supporting Joanne </w:t>
            </w:r>
            <w:proofErr w:type="spellStart"/>
            <w:r w:rsidRPr="004A67C9">
              <w:rPr>
                <w:color w:val="231F20"/>
                <w:sz w:val="24"/>
                <w:szCs w:val="24"/>
              </w:rPr>
              <w:t>Ahola</w:t>
            </w:r>
            <w:proofErr w:type="spellEnd"/>
            <w:r w:rsidRPr="004A67C9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</w:tcPr>
          <w:p w:rsidR="00BA4373" w:rsidRPr="004A67C9" w:rsidRDefault="00BA4373" w:rsidP="004A67C9">
            <w:pPr>
              <w:pStyle w:val="TableParagraph"/>
              <w:spacing w:before="3"/>
              <w:ind w:left="614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$101,592.76</w:t>
            </w:r>
          </w:p>
        </w:tc>
      </w:tr>
      <w:tr w:rsidR="00BA4373" w:rsidRPr="004A67C9" w:rsidTr="004A67C9">
        <w:trPr>
          <w:trHeight w:hRule="exact" w:val="272"/>
        </w:trPr>
        <w:tc>
          <w:tcPr>
            <w:tcW w:w="2623" w:type="dxa"/>
            <w:vMerge/>
            <w:tcBorders>
              <w:left w:val="nil"/>
              <w:bottom w:val="nil"/>
              <w:right w:val="nil"/>
            </w:tcBorders>
          </w:tcPr>
          <w:p w:rsidR="00BA4373" w:rsidRPr="004A67C9" w:rsidRDefault="00BA4373" w:rsidP="004A67C9">
            <w:pPr>
              <w:ind w:left="29" w:right="72"/>
              <w:rPr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BA4373" w:rsidRPr="004A67C9" w:rsidRDefault="00BA4373" w:rsidP="00BA4373">
            <w:pPr>
              <w:pStyle w:val="TableParagraph"/>
              <w:spacing w:before="3"/>
              <w:ind w:left="19" w:right="72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 xml:space="preserve">Opposing Michael </w:t>
            </w:r>
            <w:proofErr w:type="spellStart"/>
            <w:r w:rsidRPr="004A67C9">
              <w:rPr>
                <w:color w:val="231F20"/>
                <w:sz w:val="24"/>
                <w:szCs w:val="24"/>
              </w:rPr>
              <w:t>Alcalay</w:t>
            </w:r>
            <w:proofErr w:type="spellEnd"/>
            <w:r w:rsidRPr="004A67C9">
              <w:rPr>
                <w:color w:val="231F20"/>
                <w:sz w:val="24"/>
                <w:szCs w:val="24"/>
              </w:rPr>
              <w:t>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373" w:rsidRPr="004A67C9" w:rsidRDefault="00BA4373" w:rsidP="004A67C9">
            <w:pPr>
              <w:pStyle w:val="TableParagraph"/>
              <w:spacing w:before="3"/>
              <w:ind w:left="858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$5,000.00</w:t>
            </w:r>
          </w:p>
        </w:tc>
      </w:tr>
      <w:tr w:rsidR="00BA4373" w:rsidRPr="004A67C9" w:rsidTr="004A67C9">
        <w:trPr>
          <w:trHeight w:hRule="exact" w:val="431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BA4373" w:rsidRPr="004A67C9" w:rsidRDefault="00BA4373" w:rsidP="004A67C9">
            <w:pPr>
              <w:ind w:left="29" w:right="72"/>
              <w:rPr>
                <w:b/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BA4373" w:rsidRPr="004A67C9" w:rsidRDefault="00BA4373" w:rsidP="00BA4373">
            <w:pPr>
              <w:ind w:left="19" w:right="72"/>
              <w:jc w:val="right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373" w:rsidRPr="004A67C9" w:rsidRDefault="00BA4373" w:rsidP="004A67C9">
            <w:pPr>
              <w:pStyle w:val="TableParagraph"/>
              <w:spacing w:line="268" w:lineRule="exact"/>
              <w:ind w:left="502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$106,592.76</w:t>
            </w:r>
          </w:p>
        </w:tc>
      </w:tr>
      <w:tr w:rsidR="00BA4373" w:rsidRPr="004A67C9" w:rsidTr="004A67C9">
        <w:trPr>
          <w:trHeight w:hRule="exact" w:val="891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BA4373" w:rsidRPr="004A67C9" w:rsidRDefault="00BA4373" w:rsidP="004A67C9">
            <w:pPr>
              <w:pStyle w:val="TableParagraph"/>
              <w:spacing w:before="140"/>
              <w:ind w:left="29" w:right="72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Sacramento County BOE Trustee Area 6: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BA4373" w:rsidRPr="004A67C9" w:rsidRDefault="00BA4373" w:rsidP="00BA4373">
            <w:pPr>
              <w:pStyle w:val="TableParagraph"/>
              <w:spacing w:before="11"/>
              <w:ind w:left="19" w:right="72"/>
              <w:jc w:val="right"/>
              <w:rPr>
                <w:rFonts w:eastAsia="Arial Black" w:cs="Arial Black"/>
                <w:b/>
                <w:bCs/>
                <w:sz w:val="24"/>
                <w:szCs w:val="24"/>
              </w:rPr>
            </w:pPr>
          </w:p>
          <w:p w:rsidR="00BA4373" w:rsidRPr="004A67C9" w:rsidRDefault="00BA4373" w:rsidP="00BA4373">
            <w:pPr>
              <w:pStyle w:val="TableParagraph"/>
              <w:ind w:left="19" w:right="72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>Supporting Heather Davis: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A4373" w:rsidRPr="004A67C9" w:rsidRDefault="00BA4373" w:rsidP="004A67C9">
            <w:pPr>
              <w:pStyle w:val="TableParagraph"/>
              <w:spacing w:before="7"/>
              <w:jc w:val="right"/>
              <w:rPr>
                <w:rFonts w:eastAsia="Arial Black" w:cs="Arial Black"/>
                <w:b/>
                <w:bCs/>
                <w:sz w:val="24"/>
                <w:szCs w:val="24"/>
              </w:rPr>
            </w:pPr>
          </w:p>
          <w:p w:rsidR="00BA4373" w:rsidRPr="004A67C9" w:rsidRDefault="00BA4373" w:rsidP="004A67C9">
            <w:pPr>
              <w:pStyle w:val="TableParagraph"/>
              <w:ind w:left="502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$156,355.40</w:t>
            </w:r>
          </w:p>
        </w:tc>
      </w:tr>
      <w:tr w:rsidR="00BA4373" w:rsidRPr="004A67C9" w:rsidTr="004A67C9">
        <w:trPr>
          <w:trHeight w:hRule="exact" w:val="90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BA4373" w:rsidRPr="004A67C9" w:rsidRDefault="00BA4373" w:rsidP="004A67C9">
            <w:pPr>
              <w:pStyle w:val="TableParagraph"/>
              <w:spacing w:before="140"/>
              <w:ind w:left="29" w:right="72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Sacramento County BOE Trustee Area 7: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BA4373" w:rsidRPr="004A67C9" w:rsidRDefault="00BA4373" w:rsidP="00BA4373">
            <w:pPr>
              <w:pStyle w:val="TableParagraph"/>
              <w:spacing w:before="11"/>
              <w:ind w:left="19" w:right="72"/>
              <w:jc w:val="right"/>
              <w:rPr>
                <w:rFonts w:eastAsia="Arial Black" w:cs="Arial Black"/>
                <w:b/>
                <w:bCs/>
                <w:sz w:val="24"/>
                <w:szCs w:val="24"/>
              </w:rPr>
            </w:pPr>
          </w:p>
          <w:p w:rsidR="00BA4373" w:rsidRPr="004A67C9" w:rsidRDefault="00D2449F" w:rsidP="00BA4373">
            <w:pPr>
              <w:pStyle w:val="TableParagraph"/>
              <w:ind w:left="19" w:right="72"/>
              <w:jc w:val="right"/>
              <w:rPr>
                <w:rFonts w:eastAsia="Arial" w:cs="Arial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Supporting </w:t>
            </w:r>
            <w:r w:rsidR="00BA4373" w:rsidRPr="004A67C9">
              <w:rPr>
                <w:color w:val="231F20"/>
                <w:sz w:val="24"/>
                <w:szCs w:val="24"/>
              </w:rPr>
              <w:t>Roy Grimes: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A4373" w:rsidRPr="004A67C9" w:rsidRDefault="00BA4373" w:rsidP="004A67C9">
            <w:pPr>
              <w:pStyle w:val="TableParagraph"/>
              <w:spacing w:before="7"/>
              <w:jc w:val="right"/>
              <w:rPr>
                <w:rFonts w:eastAsia="Arial Black" w:cs="Arial Black"/>
                <w:b/>
                <w:bCs/>
                <w:sz w:val="24"/>
                <w:szCs w:val="24"/>
              </w:rPr>
            </w:pPr>
          </w:p>
          <w:p w:rsidR="00BA4373" w:rsidRPr="004A67C9" w:rsidRDefault="00BA4373" w:rsidP="004A67C9">
            <w:pPr>
              <w:pStyle w:val="TableParagraph"/>
              <w:ind w:left="502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$220,154.79</w:t>
            </w:r>
          </w:p>
        </w:tc>
      </w:tr>
      <w:tr w:rsidR="00BA4373" w:rsidRPr="004A67C9" w:rsidTr="004A67C9">
        <w:trPr>
          <w:trHeight w:hRule="exact" w:val="927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BA4373" w:rsidRPr="004A67C9" w:rsidRDefault="00BA4373" w:rsidP="004A67C9">
            <w:pPr>
              <w:pStyle w:val="TableParagraph"/>
              <w:spacing w:before="140"/>
              <w:ind w:left="29" w:right="72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San Diego USD Board District E: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373" w:rsidRPr="004A67C9" w:rsidRDefault="00BA4373" w:rsidP="004A67C9">
            <w:pPr>
              <w:pStyle w:val="TableParagraph"/>
              <w:spacing w:before="3"/>
              <w:ind w:left="19" w:right="72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color w:val="231F20"/>
                <w:sz w:val="24"/>
                <w:szCs w:val="24"/>
              </w:rPr>
              <w:t xml:space="preserve">Supporting </w:t>
            </w:r>
            <w:proofErr w:type="spellStart"/>
            <w:r w:rsidRPr="004A67C9">
              <w:rPr>
                <w:color w:val="231F20"/>
                <w:sz w:val="24"/>
                <w:szCs w:val="24"/>
              </w:rPr>
              <w:t>Lashae</w:t>
            </w:r>
            <w:proofErr w:type="spellEnd"/>
            <w:r w:rsidRPr="004A67C9">
              <w:rPr>
                <w:color w:val="231F20"/>
                <w:sz w:val="24"/>
                <w:szCs w:val="24"/>
              </w:rPr>
              <w:t xml:space="preserve"> Collins: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373" w:rsidRPr="004A67C9" w:rsidRDefault="00BA4373" w:rsidP="004A67C9">
            <w:pPr>
              <w:pStyle w:val="TableParagraph"/>
              <w:spacing w:before="3"/>
              <w:ind w:left="614"/>
              <w:jc w:val="right"/>
              <w:rPr>
                <w:rFonts w:eastAsia="Arial" w:cs="Arial"/>
                <w:b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$145,161.13</w:t>
            </w:r>
          </w:p>
        </w:tc>
      </w:tr>
      <w:tr w:rsidR="00BA4373" w:rsidRPr="004A67C9" w:rsidTr="004A67C9">
        <w:trPr>
          <w:trHeight w:hRule="exact" w:val="602"/>
        </w:trPr>
        <w:tc>
          <w:tcPr>
            <w:tcW w:w="2623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BA4373" w:rsidRPr="004A67C9" w:rsidRDefault="00BA4373" w:rsidP="00BA4373">
            <w:pPr>
              <w:ind w:left="26" w:right="71"/>
              <w:rPr>
                <w:sz w:val="24"/>
                <w:szCs w:val="24"/>
              </w:rPr>
            </w:pPr>
          </w:p>
        </w:tc>
        <w:tc>
          <w:tcPr>
            <w:tcW w:w="3527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BA4373" w:rsidRPr="004A67C9" w:rsidRDefault="00BA4373" w:rsidP="00BA4373">
            <w:pPr>
              <w:pStyle w:val="TableParagraph"/>
              <w:spacing w:before="8"/>
              <w:ind w:left="19" w:right="72"/>
              <w:jc w:val="right"/>
              <w:rPr>
                <w:rFonts w:eastAsia="Arial Black" w:cs="Arial Black"/>
                <w:b/>
                <w:bCs/>
                <w:sz w:val="24"/>
                <w:szCs w:val="24"/>
              </w:rPr>
            </w:pPr>
          </w:p>
          <w:p w:rsidR="00BA4373" w:rsidRPr="004A67C9" w:rsidRDefault="00BA4373" w:rsidP="00BA4373">
            <w:pPr>
              <w:pStyle w:val="TableParagraph"/>
              <w:ind w:left="19" w:right="72"/>
              <w:jc w:val="right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Grand Total to Date:</w:t>
            </w:r>
          </w:p>
        </w:tc>
        <w:tc>
          <w:tcPr>
            <w:tcW w:w="1967" w:type="dxa"/>
            <w:tcBorders>
              <w:top w:val="single" w:sz="8" w:space="0" w:color="3386C7"/>
              <w:left w:val="nil"/>
              <w:bottom w:val="nil"/>
              <w:right w:val="nil"/>
            </w:tcBorders>
          </w:tcPr>
          <w:p w:rsidR="00BA4373" w:rsidRPr="004A67C9" w:rsidRDefault="00BA4373" w:rsidP="00BA4373">
            <w:pPr>
              <w:pStyle w:val="TableParagraph"/>
              <w:spacing w:before="8"/>
              <w:rPr>
                <w:rFonts w:eastAsia="Arial Black" w:cs="Arial Black"/>
                <w:b/>
                <w:bCs/>
                <w:sz w:val="24"/>
                <w:szCs w:val="24"/>
              </w:rPr>
            </w:pPr>
          </w:p>
          <w:p w:rsidR="00BA4373" w:rsidRPr="004A67C9" w:rsidRDefault="00BA4373" w:rsidP="00BA4373">
            <w:pPr>
              <w:pStyle w:val="TableParagraph"/>
              <w:ind w:left="302"/>
              <w:rPr>
                <w:rFonts w:eastAsia="Arial" w:cs="Arial"/>
                <w:sz w:val="24"/>
                <w:szCs w:val="24"/>
              </w:rPr>
            </w:pPr>
            <w:r w:rsidRPr="004A67C9">
              <w:rPr>
                <w:b/>
                <w:color w:val="231F20"/>
                <w:sz w:val="24"/>
                <w:szCs w:val="24"/>
              </w:rPr>
              <w:t>$4,707,965.97</w:t>
            </w:r>
          </w:p>
        </w:tc>
      </w:tr>
    </w:tbl>
    <w:p w:rsidR="004C640A" w:rsidRPr="00D6352B" w:rsidRDefault="004C640A"/>
    <w:sectPr w:rsidR="004C640A" w:rsidRPr="00D6352B" w:rsidSect="00BE1202">
      <w:headerReference w:type="default" r:id="rId19"/>
      <w:pgSz w:w="12240" w:h="15840"/>
      <w:pgMar w:top="1008" w:right="1008" w:bottom="1008" w:left="1008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03" w:rsidRDefault="00A10303">
      <w:r>
        <w:separator/>
      </w:r>
    </w:p>
  </w:endnote>
  <w:endnote w:type="continuationSeparator" w:id="0">
    <w:p w:rsidR="00A10303" w:rsidRDefault="00A1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Gadug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7B" w:rsidRDefault="00660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7B" w:rsidRDefault="00660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2B" w:rsidRPr="004A67C9" w:rsidRDefault="004A67C9" w:rsidP="00D6352B">
    <w:pPr>
      <w:pStyle w:val="Footer"/>
      <w:jc w:val="center"/>
      <w:rPr>
        <w:rFonts w:ascii="Futura Std Book" w:eastAsia="Arial Black" w:hAnsi="Futura Std Book" w:cs="Arial Black"/>
        <w:szCs w:val="20"/>
      </w:rPr>
    </w:pPr>
    <w:r>
      <w:rPr>
        <w:rFonts w:ascii="Futura Std Book" w:hAnsi="Futura Std Book"/>
        <w:b/>
        <w:color w:val="491752"/>
      </w:rPr>
      <w:t>For more information, visit</w:t>
    </w:r>
    <w:r w:rsidR="00D6352B" w:rsidRPr="004A67C9">
      <w:rPr>
        <w:rFonts w:ascii="Futura Std Book" w:hAnsi="Futura Std Book"/>
        <w:b/>
        <w:color w:val="491752"/>
      </w:rPr>
      <w:t xml:space="preserve"> www.kidsnotprofits.com</w:t>
    </w:r>
  </w:p>
  <w:p w:rsidR="00D6352B" w:rsidRPr="004A67C9" w:rsidRDefault="00D6352B" w:rsidP="00D6352B">
    <w:pPr>
      <w:pStyle w:val="Footer"/>
      <w:jc w:val="center"/>
      <w:rPr>
        <w:sz w:val="16"/>
      </w:rPr>
    </w:pPr>
    <w:r w:rsidRPr="004A67C9">
      <w:rPr>
        <w:b/>
        <w:color w:val="491752"/>
        <w:sz w:val="20"/>
      </w:rPr>
      <w:t>Paid for by the California Teachers</w:t>
    </w:r>
    <w:bookmarkStart w:id="0" w:name="_GoBack"/>
    <w:bookmarkEnd w:id="0"/>
    <w:r w:rsidRPr="004A67C9">
      <w:rPr>
        <w:b/>
        <w:color w:val="491752"/>
        <w:sz w:val="20"/>
      </w:rPr>
      <w:t xml:space="preserve"> Association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C9" w:rsidRPr="004A67C9" w:rsidRDefault="004A67C9" w:rsidP="004A67C9">
    <w:pPr>
      <w:pStyle w:val="Footer"/>
      <w:jc w:val="center"/>
      <w:rPr>
        <w:rFonts w:ascii="Futura Std Book" w:eastAsia="Arial Black" w:hAnsi="Futura Std Book" w:cs="Arial Black"/>
        <w:szCs w:val="20"/>
      </w:rPr>
    </w:pPr>
    <w:r>
      <w:rPr>
        <w:rFonts w:ascii="Futura Std Book" w:hAnsi="Futura Std Book"/>
        <w:b/>
        <w:color w:val="491752"/>
      </w:rPr>
      <w:t>For more information, visit</w:t>
    </w:r>
    <w:r w:rsidRPr="004A67C9">
      <w:rPr>
        <w:rFonts w:ascii="Futura Std Book" w:hAnsi="Futura Std Book"/>
        <w:b/>
        <w:color w:val="491752"/>
      </w:rPr>
      <w:t xml:space="preserve"> www.kidsnotprofits.com</w:t>
    </w:r>
  </w:p>
  <w:p w:rsidR="004A67C9" w:rsidRPr="004A67C9" w:rsidRDefault="004A67C9" w:rsidP="004A67C9">
    <w:pPr>
      <w:pStyle w:val="Footer"/>
      <w:jc w:val="center"/>
      <w:rPr>
        <w:sz w:val="16"/>
      </w:rPr>
    </w:pPr>
    <w:r w:rsidRPr="004A67C9">
      <w:rPr>
        <w:b/>
        <w:color w:val="491752"/>
        <w:sz w:val="20"/>
      </w:rPr>
      <w:t>Paid for by the California Teachers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03" w:rsidRDefault="00A10303">
      <w:r>
        <w:separator/>
      </w:r>
    </w:p>
  </w:footnote>
  <w:footnote w:type="continuationSeparator" w:id="0">
    <w:p w:rsidR="00A10303" w:rsidRDefault="00A10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7B" w:rsidRDefault="00660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7B" w:rsidRDefault="00660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2B" w:rsidRDefault="00BF755C" w:rsidP="00BF755C">
    <w:pPr>
      <w:pStyle w:val="Header"/>
      <w:spacing w:after="240"/>
      <w:jc w:val="center"/>
    </w:pPr>
    <w:r>
      <w:rPr>
        <w:noProof/>
      </w:rPr>
      <mc:AlternateContent>
        <mc:Choice Requires="wps">
          <w:drawing>
            <wp:inline distT="0" distB="0" distL="0" distR="0" wp14:anchorId="4E0FBACF" wp14:editId="4C7E67BF">
              <wp:extent cx="2647785" cy="675861"/>
              <wp:effectExtent l="0" t="0" r="19685" b="10160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785" cy="675861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3386C7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5C" w:rsidRPr="00E164D5" w:rsidRDefault="00BF755C" w:rsidP="00BF755C">
                          <w:pPr>
                            <w:spacing w:before="268"/>
                            <w:ind w:left="179"/>
                            <w:rPr>
                              <w:rFonts w:ascii="Gill Sans MT" w:eastAsia="Gill Sans MT" w:hAnsi="Gill Sans MT" w:cs="Gill Sans MT"/>
                              <w:sz w:val="56"/>
                              <w:szCs w:val="76"/>
                            </w:rPr>
                          </w:pPr>
                          <w:r w:rsidRPr="00E164D5">
                            <w:rPr>
                              <w:rFonts w:ascii="Gill Sans MT"/>
                              <w:color w:val="491752"/>
                              <w:sz w:val="56"/>
                            </w:rPr>
                            <w:t>Kids</w:t>
                          </w:r>
                          <w:r w:rsidRPr="00E164D5">
                            <w:rPr>
                              <w:rFonts w:ascii="Gill Sans MT"/>
                              <w:color w:val="491752"/>
                              <w:spacing w:val="-4"/>
                              <w:sz w:val="56"/>
                            </w:rPr>
                            <w:t xml:space="preserve"> </w:t>
                          </w:r>
                          <w:r w:rsidRPr="00E164D5">
                            <w:rPr>
                              <w:rFonts w:ascii="Gill Sans MT"/>
                              <w:color w:val="491752"/>
                              <w:sz w:val="56"/>
                            </w:rPr>
                            <w:t>Not</w:t>
                          </w:r>
                          <w:r w:rsidRPr="00E164D5">
                            <w:rPr>
                              <w:rFonts w:ascii="Gill Sans MT"/>
                              <w:color w:val="491752"/>
                              <w:spacing w:val="-4"/>
                              <w:sz w:val="56"/>
                            </w:rPr>
                            <w:t xml:space="preserve"> </w:t>
                          </w:r>
                          <w:r w:rsidRPr="00E164D5">
                            <w:rPr>
                              <w:rFonts w:ascii="Gill Sans MT"/>
                              <w:color w:val="491752"/>
                              <w:sz w:val="56"/>
                            </w:rPr>
                            <w:t>Profits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0FBAC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width:208.5pt;height: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" filled="f" strokecolor="#3386c7" strokeweight="2pt">
              <v:textbox inset="0,0,0,0">
                <w:txbxContent>
                  <w:p w:rsidR="00BF755C" w:rsidRPr="00E164D5" w:rsidRDefault="00BF755C" w:rsidP="00BF755C">
                    <w:pPr>
                      <w:spacing w:before="268"/>
                      <w:ind w:left="179"/>
                      <w:rPr>
                        <w:rFonts w:ascii="Gill Sans MT" w:eastAsia="Gill Sans MT" w:hAnsi="Gill Sans MT" w:cs="Gill Sans MT"/>
                        <w:sz w:val="56"/>
                        <w:szCs w:val="76"/>
                      </w:rPr>
                    </w:pPr>
                    <w:r w:rsidRPr="00E164D5">
                      <w:rPr>
                        <w:rFonts w:ascii="Gill Sans MT"/>
                        <w:color w:val="491752"/>
                        <w:sz w:val="56"/>
                      </w:rPr>
                      <w:t>Kids</w:t>
                    </w:r>
                    <w:r w:rsidRPr="00E164D5">
                      <w:rPr>
                        <w:rFonts w:ascii="Gill Sans MT"/>
                        <w:color w:val="491752"/>
                        <w:spacing w:val="-4"/>
                        <w:sz w:val="56"/>
                      </w:rPr>
                      <w:t xml:space="preserve"> </w:t>
                    </w:r>
                    <w:r w:rsidRPr="00E164D5">
                      <w:rPr>
                        <w:rFonts w:ascii="Gill Sans MT"/>
                        <w:color w:val="491752"/>
                        <w:sz w:val="56"/>
                      </w:rPr>
                      <w:t>Not</w:t>
                    </w:r>
                    <w:r w:rsidRPr="00E164D5">
                      <w:rPr>
                        <w:rFonts w:ascii="Gill Sans MT"/>
                        <w:color w:val="491752"/>
                        <w:spacing w:val="-4"/>
                        <w:sz w:val="56"/>
                      </w:rPr>
                      <w:t xml:space="preserve"> </w:t>
                    </w:r>
                    <w:r w:rsidRPr="00E164D5">
                      <w:rPr>
                        <w:rFonts w:ascii="Gill Sans MT"/>
                        <w:color w:val="491752"/>
                        <w:sz w:val="56"/>
                      </w:rPr>
                      <w:t>Profits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1E" w:rsidRDefault="009A731E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1E" w:rsidRDefault="009A731E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1E" w:rsidRDefault="009A731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65667"/>
    <w:multiLevelType w:val="hybridMultilevel"/>
    <w:tmpl w:val="92B82036"/>
    <w:lvl w:ilvl="0" w:tplc="3D0ED6E2">
      <w:start w:val="1"/>
      <w:numFmt w:val="bullet"/>
      <w:lvlText w:val="•"/>
      <w:lvlJc w:val="left"/>
      <w:pPr>
        <w:ind w:left="669" w:hanging="200"/>
      </w:pPr>
      <w:rPr>
        <w:rFonts w:ascii="Century Gothic" w:eastAsia="Century Gothic" w:hAnsi="Century Gothic" w:hint="default"/>
        <w:color w:val="3386C7"/>
        <w:w w:val="100"/>
        <w:sz w:val="28"/>
        <w:szCs w:val="22"/>
      </w:rPr>
    </w:lvl>
    <w:lvl w:ilvl="1" w:tplc="79B8223E">
      <w:start w:val="1"/>
      <w:numFmt w:val="bullet"/>
      <w:lvlText w:val="•"/>
      <w:lvlJc w:val="left"/>
      <w:pPr>
        <w:ind w:left="1720" w:hanging="200"/>
      </w:pPr>
      <w:rPr>
        <w:rFonts w:hint="default"/>
      </w:rPr>
    </w:lvl>
    <w:lvl w:ilvl="2" w:tplc="FDF8C512">
      <w:start w:val="1"/>
      <w:numFmt w:val="bullet"/>
      <w:lvlText w:val="•"/>
      <w:lvlJc w:val="left"/>
      <w:pPr>
        <w:ind w:left="2771" w:hanging="200"/>
      </w:pPr>
      <w:rPr>
        <w:rFonts w:hint="default"/>
      </w:rPr>
    </w:lvl>
    <w:lvl w:ilvl="3" w:tplc="FA02B24A">
      <w:start w:val="1"/>
      <w:numFmt w:val="bullet"/>
      <w:lvlText w:val="•"/>
      <w:lvlJc w:val="left"/>
      <w:pPr>
        <w:ind w:left="3822" w:hanging="200"/>
      </w:pPr>
      <w:rPr>
        <w:rFonts w:hint="default"/>
      </w:rPr>
    </w:lvl>
    <w:lvl w:ilvl="4" w:tplc="77F6AEBE">
      <w:start w:val="1"/>
      <w:numFmt w:val="bullet"/>
      <w:lvlText w:val="•"/>
      <w:lvlJc w:val="left"/>
      <w:pPr>
        <w:ind w:left="4873" w:hanging="200"/>
      </w:pPr>
      <w:rPr>
        <w:rFonts w:hint="default"/>
      </w:rPr>
    </w:lvl>
    <w:lvl w:ilvl="5" w:tplc="5776B79E">
      <w:start w:val="1"/>
      <w:numFmt w:val="bullet"/>
      <w:lvlText w:val="•"/>
      <w:lvlJc w:val="left"/>
      <w:pPr>
        <w:ind w:left="5924" w:hanging="200"/>
      </w:pPr>
      <w:rPr>
        <w:rFonts w:hint="default"/>
      </w:rPr>
    </w:lvl>
    <w:lvl w:ilvl="6" w:tplc="DE92241A">
      <w:start w:val="1"/>
      <w:numFmt w:val="bullet"/>
      <w:lvlText w:val="•"/>
      <w:lvlJc w:val="left"/>
      <w:pPr>
        <w:ind w:left="6975" w:hanging="200"/>
      </w:pPr>
      <w:rPr>
        <w:rFonts w:hint="default"/>
      </w:rPr>
    </w:lvl>
    <w:lvl w:ilvl="7" w:tplc="8084A64E">
      <w:start w:val="1"/>
      <w:numFmt w:val="bullet"/>
      <w:lvlText w:val="•"/>
      <w:lvlJc w:val="left"/>
      <w:pPr>
        <w:ind w:left="8026" w:hanging="200"/>
      </w:pPr>
      <w:rPr>
        <w:rFonts w:hint="default"/>
      </w:rPr>
    </w:lvl>
    <w:lvl w:ilvl="8" w:tplc="80884D12">
      <w:start w:val="1"/>
      <w:numFmt w:val="bullet"/>
      <w:lvlText w:val="•"/>
      <w:lvlJc w:val="left"/>
      <w:pPr>
        <w:ind w:left="9078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E"/>
    <w:rsid w:val="0000078B"/>
    <w:rsid w:val="004427D7"/>
    <w:rsid w:val="004A67C9"/>
    <w:rsid w:val="004C640A"/>
    <w:rsid w:val="0066007B"/>
    <w:rsid w:val="00973C17"/>
    <w:rsid w:val="009A731E"/>
    <w:rsid w:val="00A10303"/>
    <w:rsid w:val="00AF4516"/>
    <w:rsid w:val="00BA4373"/>
    <w:rsid w:val="00BE1202"/>
    <w:rsid w:val="00BF755C"/>
    <w:rsid w:val="00C14327"/>
    <w:rsid w:val="00D2449F"/>
    <w:rsid w:val="00D6352B"/>
    <w:rsid w:val="00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3A859A-F162-4163-94DD-BEA09502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Heading2"/>
    <w:uiPriority w:val="1"/>
    <w:qFormat/>
    <w:rsid w:val="00BF755C"/>
    <w:pPr>
      <w:outlineLvl w:val="0"/>
    </w:pPr>
    <w:rPr>
      <w:rFonts w:ascii="Futura Std Book" w:hAnsi="Futura Std Book"/>
      <w:sz w:val="23"/>
      <w:szCs w:val="23"/>
    </w:rPr>
  </w:style>
  <w:style w:type="paragraph" w:styleId="Heading2">
    <w:name w:val="heading 2"/>
    <w:basedOn w:val="Normal"/>
    <w:uiPriority w:val="1"/>
    <w:qFormat/>
    <w:rsid w:val="004427D7"/>
    <w:pPr>
      <w:spacing w:before="240"/>
      <w:outlineLvl w:val="1"/>
    </w:pPr>
    <w:rPr>
      <w:rFonts w:ascii="Arial Black" w:eastAsia="Arial Black" w:hAnsi="Arial Black"/>
      <w:b/>
      <w:bCs/>
      <w:color w:val="3386C7"/>
      <w:spacing w:val="-4"/>
      <w:w w:val="95"/>
      <w:sz w:val="24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BF755C"/>
    <w:pPr>
      <w:spacing w:before="240" w:after="240"/>
      <w:jc w:val="center"/>
      <w:outlineLvl w:val="2"/>
    </w:pPr>
    <w:rPr>
      <w:rFonts w:ascii="Futura Std Book" w:eastAsia="Arial Black" w:hAnsi="Futura Std Book"/>
      <w:b/>
      <w:bCs/>
      <w:color w:val="3386C7"/>
      <w:spacing w:val="-4"/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3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52B"/>
  </w:style>
  <w:style w:type="paragraph" w:styleId="Footer">
    <w:name w:val="footer"/>
    <w:basedOn w:val="Normal"/>
    <w:link w:val="FooterChar"/>
    <w:uiPriority w:val="99"/>
    <w:unhideWhenUsed/>
    <w:rsid w:val="00D63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2B"/>
  </w:style>
  <w:style w:type="character" w:styleId="Hyperlink">
    <w:name w:val="Hyperlink"/>
    <w:basedOn w:val="DefaultParagraphFont"/>
    <w:uiPriority w:val="99"/>
    <w:unhideWhenUsed/>
    <w:rsid w:val="00D6352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F755C"/>
    <w:pPr>
      <w:spacing w:before="240" w:line="522" w:lineRule="exact"/>
      <w:jc w:val="center"/>
    </w:pPr>
    <w:rPr>
      <w:rFonts w:ascii="Futura Std Book" w:hAnsi="Futura Std Book"/>
      <w:b/>
      <w:color w:val="3386C7"/>
      <w:spacing w:val="-2"/>
      <w:sz w:val="38"/>
    </w:rPr>
  </w:style>
  <w:style w:type="character" w:customStyle="1" w:styleId="TitleChar">
    <w:name w:val="Title Char"/>
    <w:basedOn w:val="DefaultParagraphFont"/>
    <w:link w:val="Title"/>
    <w:uiPriority w:val="10"/>
    <w:rsid w:val="00BF755C"/>
    <w:rPr>
      <w:rFonts w:ascii="Futura Std Book" w:hAnsi="Futura Std Book"/>
      <w:b/>
      <w:color w:val="3386C7"/>
      <w:spacing w:val="-2"/>
      <w:sz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5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F755C"/>
    <w:rPr>
      <w:rFonts w:ascii="Futura Std Book" w:eastAsia="Arial Black" w:hAnsi="Futura Std Book"/>
      <w:b/>
      <w:bCs/>
      <w:color w:val="3386C7"/>
      <w:spacing w:val="-4"/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MggNWX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oo.gl/T5jztm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goo.gl/hGFAI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4471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Bomberry, Shelly</dc:creator>
  <cp:lastModifiedBy>Sizemore, Erika</cp:lastModifiedBy>
  <cp:revision>2</cp:revision>
  <cp:lastPrinted>2016-08-30T19:15:00Z</cp:lastPrinted>
  <dcterms:created xsi:type="dcterms:W3CDTF">2016-08-31T03:08:00Z</dcterms:created>
  <dcterms:modified xsi:type="dcterms:W3CDTF">2016-08-31T03:08:00Z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LastSaved">
    <vt:filetime>2016-08-30T00:00:00Z</vt:filetime>
  </property>
</Properties>
</file>